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1" w:name="X29dad946279bcaba3c9cd6b6dee1e9b94bfc7a9"/>
    <w:p>
      <w:pPr>
        <w:pStyle w:val="Heading1"/>
      </w:pPr>
      <w:r>
        <w:t xml:space="preserve">Legacy Known Issues and Technical Debt — DentalCare Classic v8.7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TECH-TDB-001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2026-03-01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 — Lead Architect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2024-01-15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tech debt inventory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severity classifications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2024-09-15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Major update after penetration test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2025-02-01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Infrastructure EOL additions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impact assessment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remediation status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This document catalogs all known issues, security vulnerabilities, and technical debt items in the DentalCare Classic v8.7 (VB6) system. It serves as a primary justification for the Spring Boot migration and ensures that all known issues are addressed in the new system.</w:t>
      </w:r>
    </w:p>
    <w:p>
      <w:r>
        <w:pict>
          <v:rect style="width:0;height:1.5pt" o:hralign="center" o:hrstd="t" o:hr="t"/>
        </w:pict>
      </w:r>
    </w:p>
    <w:bookmarkEnd w:id="21"/>
    <w:bookmarkStart w:id="22" w:name="critical-security-issues"/>
    <w:p>
      <w:pPr>
        <w:pStyle w:val="Heading2"/>
      </w:pPr>
      <w:r>
        <w:t xml:space="preserve">2. Critical Security Issues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23"/>
        <w:gridCol w:w="1060"/>
        <w:gridCol w:w="2993"/>
        <w:gridCol w:w="374"/>
        <w:gridCol w:w="1496"/>
        <w:gridCol w:w="137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CVSS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HIPAA 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Passwords stored as unsalted MD5 hashes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§164.312(d) violation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(BCrypt)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multi-factor 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§164.312(d)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(OAuth+MFA)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 injection in frmPatientSearch (string concat)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breach 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(JPA)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 injection in frmSchedule (date filter)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breach 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(JPA)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Encryption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SSN stored as plaintext 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(AES-256)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Encryption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MS Access cache files unencrypted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 exposure 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(eliminated)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Access 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Shared</w:t>
            </w:r>
            <w:r>
              <w:t xml:space="preserve"> </w:t>
            </w:r>
            <w:r>
              <w:t xml:space="preserve">“</w:t>
            </w:r>
            <w:r>
              <w:t xml:space="preserve">front_desk</w:t>
            </w:r>
            <w:r>
              <w:t xml:space="preserve">”</w:t>
            </w:r>
            <w:r>
              <w:t xml:space="preserve"> </w:t>
            </w:r>
            <w:r>
              <w:t xml:space="preserve">account at 2 locations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Pre-migration fix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Session timeout set to 30 min (should be 15)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§164.312(a)(2)(iii)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(15 min)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Some internal connections use TLS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§164.312(e)(1)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(TLS 1.3)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field-level PHI access logging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§164.312(b)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(full audit)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data-integrity-issues"/>
    <w:p>
      <w:pPr>
        <w:pStyle w:val="Heading2"/>
      </w:pPr>
      <w:r>
        <w:t xml:space="preserve">3. Data Integrity Issues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86"/>
        <w:gridCol w:w="997"/>
        <w:gridCol w:w="2816"/>
        <w:gridCol w:w="821"/>
        <w:gridCol w:w="1408"/>
        <w:gridCol w:w="12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Affected Table(s)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Financial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Money stored as FLOAT — rounding errors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tbl_Ledger, tbl_Payments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(NUMERIC)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FK constraint on tbl_Appointments→tbl_Patients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(FK added)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FK constraint on tbl_Claims→tbl_Patients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(FK added)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Duplicates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~3,200 duplicate patient record sets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Pre-migration cleanup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Quality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Inconsistent date formats (VARCHAR dates)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(DATE type)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Quality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 phone numbers stored as</w:t>
            </w:r>
            <w:r>
              <w:t xml:space="preserve"> </w:t>
            </w:r>
            <w:r>
              <w:t xml:space="preserve">“</w:t>
            </w:r>
            <w:r>
              <w:t xml:space="preserve">N/A</w:t>
            </w:r>
            <w:r>
              <w:t xml:space="preserve">”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t xml:space="preserve">“</w:t>
            </w:r>
            <w:r>
              <w:t xml:space="preserve">000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cleanup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Quality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Mixed case in insurance plan names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tbl_InsurancePlans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normalization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Concurrency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optimistic locking — lost update possible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</w:t>
            </w:r>
            <w:r>
              <w:t xml:space="preserve">@Version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created_at/updated_at on most tables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Most tables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(JPA audit)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 deletes possible — PHI compliance 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(soft delete)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application-issues"/>
    <w:p>
      <w:pPr>
        <w:pStyle w:val="Heading2"/>
      </w:pPr>
      <w:r>
        <w:t xml:space="preserve">4. Application Issues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00"/>
        <w:gridCol w:w="1020"/>
        <w:gridCol w:w="2880"/>
        <w:gridCol w:w="600"/>
        <w:gridCol w:w="150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Workaround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frmPerio crashes with &gt; 32 teeth selected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&lt; 32 teeth at once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(new UI)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frmSchedule slow with &gt; 100 appointments/day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— endure slowness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(pagination)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Crystal Reports XI fails on Windows 10 22H2+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in compatibility mode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(Jasper)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TWAIN scanner driver conflicts with Win 10/11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specific driver 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(web upload)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Memory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Memory leak after ~2 hours in frmChartNote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Restart app every 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(new arch)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Concurrency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 users editing same patient causes data loss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Verbal coordination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(opt. lock)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search takes &gt; 5s with wildcards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specific last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(search index)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 formatting breaks on non-standard printers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approved printers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(PDF gen)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support for non-English characters in names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ASCII approximations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(UTF-8)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MSI installer fails silently on some machines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 file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(web-based)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Configuration stored in Windows Registry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 registry editing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(app.yml)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Handling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Generic</w:t>
            </w:r>
            <w:r>
              <w:t xml:space="preserve"> </w:t>
            </w:r>
            <w:r>
              <w:t xml:space="preserve">“</w:t>
            </w:r>
            <w:r>
              <w:t xml:space="preserve">Error 13: Type Mismatch</w:t>
            </w:r>
            <w:r>
              <w:t xml:space="preserve">”</w:t>
            </w:r>
            <w:r>
              <w:t xml:space="preserve"> </w:t>
            </w:r>
            <w:r>
              <w:t xml:space="preserve">with no context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Developer investigation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(structured)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automated database backup verification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manual 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(automated)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Multi-site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Site-to-site VPN drops cause data sync issues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Reconnect and retry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(cloud)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Report generation blocks entire 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reports after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(async)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infrastructure-issues"/>
    <w:p>
      <w:pPr>
        <w:pStyle w:val="Heading2"/>
      </w:pPr>
      <w:r>
        <w:t xml:space="preserve">5. Infrastructure Issues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60"/>
        <w:gridCol w:w="1122"/>
        <w:gridCol w:w="3168"/>
        <w:gridCol w:w="660"/>
        <w:gridCol w:w="858"/>
        <w:gridCol w:w="14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EOL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Windows Server 2012 R2 — extended support ended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Oct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(AWS Linux)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 Server 2012 SP4 — extended support ended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Jul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(PostgreSQL)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VB6 runtime — no further updates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(Java 21)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Crystal Reports XI — no longer supported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(Jasper)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Hardware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 server hardware approaching 7-year lifecycle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 (est.)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(cloud)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LTO-6 tape library nearing capacity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(S3)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FortiGate 60F firmware version behind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 scheduled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Cooling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 room HVAC unit showing intermittent issues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Repair/replace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generator backup — UPS provides ~30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(cloud)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 Server 2012 license — no SA renewal 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(PostgreSQL)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8" w:name="technical-debt-summary"/>
    <w:p>
      <w:pPr>
        <w:pStyle w:val="Heading2"/>
      </w:pPr>
      <w:r>
        <w:t xml:space="preserve">6. Technical Debt Summary</w:t>
      </w:r>
    </w:p>
    <w:bookmarkStart w:id="26" w:name="debt-by-category"/>
    <w:p>
      <w:pPr>
        <w:pStyle w:val="Heading3"/>
      </w:pPr>
      <w:r>
        <w:t xml:space="preserve">6.1 Debt by Category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43"/>
        <w:gridCol w:w="931"/>
        <w:gridCol w:w="559"/>
        <w:gridCol w:w="745"/>
        <w:gridCol w:w="559"/>
        <w:gridCol w:w="652"/>
        <w:gridCol w:w="232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Remediated by Migration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(100%)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Integrity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(100%)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(100%)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(80%)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43 (96%)</w:t>
            </w:r>
          </w:p>
        </w:tc>
      </w:tr>
    </w:tbl>
    <w:bookmarkEnd w:id="26"/>
    <w:bookmarkStart w:id="27" w:name="risk-of-maintaining-legacy-system"/>
    <w:p>
      <w:pPr>
        <w:pStyle w:val="Heading3"/>
      </w:pPr>
      <w:r>
        <w:t xml:space="preserve">6.2 Risk of Maintaining Legacy System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177"/>
        <w:gridCol w:w="1131"/>
        <w:gridCol w:w="957"/>
        <w:gridCol w:w="165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Probability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Cost Est.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breach due to known vulnerabilities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$500K-2M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$125K-500K (EV)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HIPAA enforcement action due to compliance gaps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$100K-1.5M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$15K-225K (EV)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failure due to hardware/software EOL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$50K-200K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$10K-40K (EV)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Staff productivity loss from workarounds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Ongoing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$85K/year (measured)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Inability to scale for new clinic locations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Ongoing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Lost 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estimated annual risk cost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$235K-850K</w:t>
            </w:r>
          </w:p>
        </w:tc>
      </w:tr>
    </w:tbl>
    <w:p>
      <w:pPr>
        <w:pStyle w:val="BlockText"/>
      </w:pPr>
      <w:r>
        <w:rPr>
          <w:bCs/>
          <w:b/>
        </w:rPr>
        <w:t xml:space="preserve">Business Case:</w:t>
      </w:r>
      <w:r>
        <w:t xml:space="preserve"> </w:t>
      </w:r>
      <w:r>
        <w:t xml:space="preserve">The annual risk cost of maintaining the legacy system ($235K-$850K) exceeds the annual infrastructure cost of the new cloud system ($238K), making migration financially justified on risk reduction alone — before considering productivity and capability improvements.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e-migration-remediation-items"/>
    <w:p>
      <w:pPr>
        <w:pStyle w:val="Heading2"/>
      </w:pPr>
      <w:r>
        <w:t xml:space="preserve">7. Pre-Migration Remediation Items</w:t>
      </w:r>
    </w:p>
    <w:p>
      <w:pPr>
        <w:pStyle w:val="FirstParagraph"/>
      </w:pPr>
      <w:r>
        <w:t xml:space="preserve">These items must be fixed in the legacy system BEFORE migration begins: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792"/>
        <w:gridCol w:w="3880"/>
        <w:gridCol w:w="1029"/>
        <w:gridCol w:w="1029"/>
        <w:gridCol w:w="118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Eliminate shared</w:t>
            </w:r>
            <w:r>
              <w:t xml:space="preserve"> </w:t>
            </w:r>
            <w:r>
              <w:t xml:space="preserve">“</w:t>
            </w:r>
            <w:r>
              <w:t xml:space="preserve">front_desk</w:t>
            </w:r>
            <w:r>
              <w:t xml:space="preserve">”</w:t>
            </w:r>
            <w:r>
              <w:t xml:space="preserve"> </w:t>
            </w:r>
            <w:r>
              <w:t xml:space="preserve">accounts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Progress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2025-10-15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Resolve duplicate patient records (~3,200 sets)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Progress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2025-11-01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Clean up NULL/</w:t>
            </w:r>
            <w:r>
              <w:t xml:space="preserve">“</w:t>
            </w:r>
            <w:r>
              <w:t xml:space="preserve">N/A</w:t>
            </w:r>
            <w:r>
              <w:t xml:space="preserve">”</w:t>
            </w:r>
            <w:r>
              <w:t xml:space="preserve"> </w:t>
            </w:r>
            <w:r>
              <w:t xml:space="preserve">phone number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Started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2025-11-15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Normalize insurance plan names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Started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2025-11-15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Export and index all legacy audit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Progress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2025-10-01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all patient images accessible on file 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 all Crystal Reports formulas/logic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Progress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2025-10-15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Catalog all Windows Registry configuration entries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approval"/>
    <w:p>
      <w:pPr>
        <w:pStyle w:val="Heading2"/>
      </w:pPr>
      <w:r>
        <w:t xml:space="preserve">8.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Director of IT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Operations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quarterly. Next review: 2026-03-01. Contact: architecture@dentalcarepro.com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2026-03-12T08:20:09Z</dcterms:created>
  <dcterms:modified xsi:type="dcterms:W3CDTF">2026-03-12T08:20:09Z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