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51" w:name="X51bb789f59a763f26793f093aaf71f8313635b4"/>
    <w:p>
      <w:pPr>
        <w:pStyle w:val="Heading1"/>
      </w:pPr>
      <w:r>
        <w:t xml:space="preserve">Breach Notification Procedures — DentalCare Pro System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COMP-BRN-001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2025-11-01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Sarah Kim — Chief Compliance Officer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Restricted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2023-05-01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breach notification procedures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2023-12-15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Patricia Gomez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state notification requirements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2024-06-01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cloud-specific breach scenarios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Comprehensive update — migration considerations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This document establishes procedures for identifying, assessing, containing, and reporting breaches of unsecured Protected Health Information (PHI) in compliance with the HIPAA Breach Notification Rule (45 CFR §§164.400-414) and the HITECH Act (42 USC §17932). Timely and accurate breach notification protects patients, limits organizational liability, and maintains trust with the dental community we serve.</w:t>
      </w:r>
    </w:p>
    <w:p>
      <w:r>
        <w:pict>
          <v:rect style="width:0;height:1.5pt" o:hralign="center" o:hrstd="t" o:hr="t"/>
        </w:pict>
      </w:r>
    </w:p>
    <w:bookmarkEnd w:id="21"/>
    <w:bookmarkStart w:id="23" w:name="definitions"/>
    <w:p>
      <w:pPr>
        <w:pStyle w:val="Heading2"/>
      </w:pPr>
      <w:r>
        <w:t xml:space="preserve">2. Definitions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98"/>
        <w:gridCol w:w="602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Breach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Acquisition, access, use, or disclosure of PHI in violation of the Privacy Rule that compromises the security or privacy of PHI (45 CFR §164.402)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Unsecured PHI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 not rendered unusable, unreadable, or indecipherable to unauthorized persons through encryption or destruction (45 CFR §164.402)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Security Incident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Attempted or successful unauthorized access, use, disclosure, modification, or destruction of information or interference with system operations (45 CFR §164.304)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Discovery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first day the breach is known or should have been known by exercising reasonable diligence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Business Associate (BA)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person or entity that performs functions involving PHI on behalf of or for a covered entity</w:t>
            </w:r>
          </w:p>
        </w:tc>
      </w:tr>
    </w:tbl>
    <w:bookmarkStart w:id="22" w:name="breach-exclusions-45-cfr-164.4021"/>
    <w:p>
      <w:pPr>
        <w:pStyle w:val="Heading3"/>
      </w:pPr>
      <w:r>
        <w:t xml:space="preserve">2.1 Breach Exclusions (45 CFR §164.402(1))</w:t>
      </w:r>
    </w:p>
    <w:p>
      <w:pPr>
        <w:pStyle w:val="FirstParagraph"/>
      </w:pPr>
      <w:r>
        <w:t xml:space="preserve">A use or disclosure of PHI is NOT a breach if: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Unintentional access</w:t>
      </w:r>
      <w:r>
        <w:t xml:space="preserve"> </w:t>
      </w:r>
      <w:r>
        <w:t xml:space="preserve">by a workforce member acting in good faith within their scope of authority, and the information is not further used or disclosed improperly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Inadvertent disclosure</w:t>
      </w:r>
      <w:r>
        <w:t xml:space="preserve"> </w:t>
      </w:r>
      <w:r>
        <w:t xml:space="preserve">between authorized persons at the same covered entity or business associate, and the information is not further used or disclosed improperly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Good faith belief</w:t>
      </w:r>
      <w:r>
        <w:t xml:space="preserve"> </w:t>
      </w:r>
      <w:r>
        <w:t xml:space="preserve">that the unauthorized person to whom the disclosure was made would not reasonably have been able to retain the information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breach-risk-assessment"/>
    <w:p>
      <w:pPr>
        <w:pStyle w:val="Heading2"/>
      </w:pPr>
      <w:r>
        <w:t xml:space="preserve">3. Breach Risk Assessment</w:t>
      </w:r>
    </w:p>
    <w:bookmarkStart w:id="24" w:name="X62b39abc11593f21833b7302d45f711846c6143"/>
    <w:p>
      <w:pPr>
        <w:pStyle w:val="Heading3"/>
      </w:pPr>
      <w:r>
        <w:t xml:space="preserve">3.1 Four-Factor Risk Assessment (45 CFR §164.402(2))</w:t>
      </w:r>
    </w:p>
    <w:p>
      <w:pPr>
        <w:pStyle w:val="FirstParagraph"/>
      </w:pPr>
      <w:r>
        <w:t xml:space="preserve">When a potential breach is identified, the following four-factor risk assessment must be performed to determine if notification is required:</w:t>
      </w:r>
    </w:p>
    <w:p>
      <w:pPr>
        <w:pStyle w:val="BodyText"/>
      </w:pPr>
      <w:r>
        <w:rPr>
          <w:bCs/>
          <w:b/>
        </w:rPr>
        <w:t xml:space="preserve">Factor 1: Nature and Extent of PHI Involved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PHI Element(s) Exposed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 Weight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Clinical/diagnostic 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SSN, financial account numbers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 + limited demographics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 + clinical 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 + SSN + clinical 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De-identified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Encrypted data (key not compromised)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</w:tbl>
    <w:p>
      <w:pPr>
        <w:pStyle w:val="BodyText"/>
      </w:pPr>
      <w:r>
        <w:rPr>
          <w:bCs/>
          <w:b/>
        </w:rPr>
        <w:t xml:space="preserve">Factor 2: Unauthorized Person Who Used or Received the PHI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Recipient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 Weight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Another covered entity (e.g., wrong dental office)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Business associate under BAA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Low-Medium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Known individual, non-healthcare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Unknown individual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Malicious actor / hacker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Media / public internet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</w:tbl>
    <w:p>
      <w:pPr>
        <w:pStyle w:val="BodyText"/>
      </w:pPr>
      <w:r>
        <w:rPr>
          <w:bCs/>
          <w:b/>
        </w:rPr>
        <w:t xml:space="preserve">Factor 3: Whether PHI Was Actually Acquired or Viewed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 Weight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Confirmed not viewed/accessed (e.g., encrypted)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Forensic evidence shows no 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Unknown if accessed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Confirmed accessed/viewed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Confirmed copied/downloaded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</w:tbl>
    <w:p>
      <w:pPr>
        <w:pStyle w:val="BodyText"/>
      </w:pPr>
      <w:r>
        <w:rPr>
          <w:bCs/>
          <w:b/>
        </w:rPr>
        <w:t xml:space="preserve">Factor 4: Extent of Mitigation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Mitigation Outcome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 Reduction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 returned/destroyed with 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Significant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BAA/CA in place, incident contained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Recipient signed confidentiality agreement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mitigation possible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</w:tbl>
    <w:bookmarkEnd w:id="24"/>
    <w:bookmarkStart w:id="25" w:name="risk-assessment-matrix"/>
    <w:p>
      <w:pPr>
        <w:pStyle w:val="Heading3"/>
      </w:pPr>
      <w:r>
        <w:t xml:space="preserve">3.2 Risk Assessment Matrix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31"/>
        <w:gridCol w:w="3140"/>
        <w:gridCol w:w="204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Overall Risk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None/Negligible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(document decision)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(presumption of breach overcome)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Likely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days from discovery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days from discovery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Expedited — within 30 days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29" w:name="breach-response-timeline"/>
    <w:p>
      <w:pPr>
        <w:pStyle w:val="Heading2"/>
      </w:pPr>
      <w:r>
        <w:t xml:space="preserve">4. Breach Response Timeline</w:t>
      </w:r>
    </w:p>
    <w:bookmarkStart w:id="27" w:name="complete-timeline"/>
    <w:p>
      <w:pPr>
        <w:pStyle w:val="Heading3"/>
      </w:pPr>
      <w:r>
        <w:t xml:space="preserve">4.1 Complete Timeline</w:t>
      </w:r>
    </w:p>
    <w:p>
      <w:pPr>
        <w:pStyle w:val="SourceCode"/>
      </w:pPr>
      <w:r>
        <w:rPr>
          <w:rStyle w:val="VerbatimChar"/>
        </w:rPr>
        <w:t xml:space="preserve">Day 0: Discovery (or "should have discovered")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├── Immediate (within 1 hour)</w:t>
      </w:r>
      <w:r>
        <w:br/>
      </w:r>
      <w:r>
        <w:rPr>
          <w:rStyle w:val="VerbatimChar"/>
        </w:rPr>
        <w:t xml:space="preserve">  │     ├── Initial containment actions</w:t>
      </w:r>
      <w:r>
        <w:br/>
      </w:r>
      <w:r>
        <w:rPr>
          <w:rStyle w:val="VerbatimChar"/>
        </w:rPr>
        <w:t xml:space="preserve">  │     ├── Incident Response Team activated</w:t>
      </w:r>
      <w:r>
        <w:br/>
      </w:r>
      <w:r>
        <w:rPr>
          <w:rStyle w:val="VerbatimChar"/>
        </w:rPr>
        <w:t xml:space="preserve">  │     └── Preliminary documentation started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├── Day 0-3: Investigation Phase</w:t>
      </w:r>
      <w:r>
        <w:br/>
      </w:r>
      <w:r>
        <w:rPr>
          <w:rStyle w:val="VerbatimChar"/>
        </w:rPr>
        <w:t xml:space="preserve">  │     ├── Four-factor risk assessment</w:t>
      </w:r>
      <w:r>
        <w:br/>
      </w:r>
      <w:r>
        <w:rPr>
          <w:rStyle w:val="VerbatimChar"/>
        </w:rPr>
        <w:t xml:space="preserve">  │     ├── Scope determination (affected patients)</w:t>
      </w:r>
      <w:r>
        <w:br/>
      </w:r>
      <w:r>
        <w:rPr>
          <w:rStyle w:val="VerbatimChar"/>
        </w:rPr>
        <w:t xml:space="preserve">  │     ├── Forensic evidence preservation</w:t>
      </w:r>
      <w:r>
        <w:br/>
      </w:r>
      <w:r>
        <w:rPr>
          <w:rStyle w:val="VerbatimChar"/>
        </w:rPr>
        <w:t xml:space="preserve">  │     └── Legal counsel consulted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├── Day 3-7: Assessment Complete</w:t>
      </w:r>
      <w:r>
        <w:br/>
      </w:r>
      <w:r>
        <w:rPr>
          <w:rStyle w:val="VerbatimChar"/>
        </w:rPr>
        <w:t xml:space="preserve">  │     ├── Breach/no-breach determination</w:t>
      </w:r>
      <w:r>
        <w:br/>
      </w:r>
      <w:r>
        <w:rPr>
          <w:rStyle w:val="VerbatimChar"/>
        </w:rPr>
        <w:t xml:space="preserve">  │     ├── If breach: notification preparation begins</w:t>
      </w:r>
      <w:r>
        <w:br/>
      </w:r>
      <w:r>
        <w:rPr>
          <w:rStyle w:val="VerbatimChar"/>
        </w:rPr>
        <w:t xml:space="preserve">  │     └── Board/leadership notification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├── Day 7-30: Notification Preparation</w:t>
      </w:r>
      <w:r>
        <w:br/>
      </w:r>
      <w:r>
        <w:rPr>
          <w:rStyle w:val="VerbatimChar"/>
        </w:rPr>
        <w:t xml:space="preserve">  │     ├── Patient notification letters drafted</w:t>
      </w:r>
      <w:r>
        <w:br/>
      </w:r>
      <w:r>
        <w:rPr>
          <w:rStyle w:val="VerbatimChar"/>
        </w:rPr>
        <w:t xml:space="preserve">  │     ├── HHS notification form prepared</w:t>
      </w:r>
      <w:r>
        <w:br/>
      </w:r>
      <w:r>
        <w:rPr>
          <w:rStyle w:val="VerbatimChar"/>
        </w:rPr>
        <w:t xml:space="preserve">  │     ├── Media statement prepared (if &gt;500 affected)</w:t>
      </w:r>
      <w:r>
        <w:br/>
      </w:r>
      <w:r>
        <w:rPr>
          <w:rStyle w:val="VerbatimChar"/>
        </w:rPr>
        <w:t xml:space="preserve">  │     ├── Call center briefed (if &gt;500 affected)</w:t>
      </w:r>
      <w:r>
        <w:br/>
      </w:r>
      <w:r>
        <w:rPr>
          <w:rStyle w:val="VerbatimChar"/>
        </w:rPr>
        <w:t xml:space="preserve">  │     └── Credit monitoring arranged (if SSN involved)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├── Day 30-60: Notifications Sent</w:t>
      </w:r>
      <w:r>
        <w:br/>
      </w:r>
      <w:r>
        <w:rPr>
          <w:rStyle w:val="VerbatimChar"/>
        </w:rPr>
        <w:t xml:space="preserve">  │     ├── Individual patient notifications mailed</w:t>
      </w:r>
      <w:r>
        <w:br/>
      </w:r>
      <w:r>
        <w:rPr>
          <w:rStyle w:val="VerbatimChar"/>
        </w:rPr>
        <w:t xml:space="preserve">  │     ├── HHS OCR breach portal submission</w:t>
      </w:r>
      <w:r>
        <w:br/>
      </w:r>
      <w:r>
        <w:rPr>
          <w:rStyle w:val="VerbatimChar"/>
        </w:rPr>
        <w:t xml:space="preserve">  │     ├── State attorney general notifications</w:t>
      </w:r>
      <w:r>
        <w:br/>
      </w:r>
      <w:r>
        <w:rPr>
          <w:rStyle w:val="VerbatimChar"/>
        </w:rPr>
        <w:t xml:space="preserve">  │     ├── Media notification (if &gt;500 in single state)</w:t>
      </w:r>
      <w:r>
        <w:br/>
      </w:r>
      <w:r>
        <w:rPr>
          <w:rStyle w:val="VerbatimChar"/>
        </w:rPr>
        <w:t xml:space="preserve">  │     └── Business associate notifications (if applicable)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└── Day 60+: Post-Breach Activities</w:t>
      </w:r>
      <w:r>
        <w:br/>
      </w:r>
      <w:r>
        <w:rPr>
          <w:rStyle w:val="VerbatimChar"/>
        </w:rPr>
        <w:t xml:space="preserve">        ├── Root cause analysis completed</w:t>
      </w:r>
      <w:r>
        <w:br/>
      </w:r>
      <w:r>
        <w:rPr>
          <w:rStyle w:val="VerbatimChar"/>
        </w:rPr>
        <w:t xml:space="preserve">        ├── Corrective action plan implemented</w:t>
      </w:r>
      <w:r>
        <w:br/>
      </w:r>
      <w:r>
        <w:rPr>
          <w:rStyle w:val="VerbatimChar"/>
        </w:rPr>
        <w:t xml:space="preserve">        ├── Policy/procedure updates</w:t>
      </w:r>
      <w:r>
        <w:br/>
      </w:r>
      <w:r>
        <w:rPr>
          <w:rStyle w:val="VerbatimChar"/>
        </w:rPr>
        <w:t xml:space="preserve">        ├── Staff re-training</w:t>
      </w:r>
      <w:r>
        <w:br/>
      </w:r>
      <w:r>
        <w:rPr>
          <w:rStyle w:val="VerbatimChar"/>
        </w:rPr>
        <w:t xml:space="preserve">        └── Documentation archived (6-year retention)</w:t>
      </w:r>
    </w:p>
    <w:bookmarkEnd w:id="27"/>
    <w:bookmarkStart w:id="28" w:name="notification-deadlines"/>
    <w:p>
      <w:pPr>
        <w:pStyle w:val="Heading3"/>
      </w:pPr>
      <w:r>
        <w:t xml:space="preserve">4.2 Notification Deadlines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72"/>
        <w:gridCol w:w="3133"/>
        <w:gridCol w:w="191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Notification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Deadline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Regulation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Individual notification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Without unreasonable delay, max 60 days from discovery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 CFR §164.404(b)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HHS OCR notification (≥500)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 time as individual notification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 CFR §164.408(b)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HHS OCR notification (&lt;500)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60 days of end of calendar 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 CFR §164.408(c)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Media notification (≥500 in state)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Without unreasonable delay, max 60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 CFR §164.406(b)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State attorney general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state law (varies: 30-60 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laws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Business associate to 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Without unreasonable delay, max 60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 CFR §164.410(b)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End w:id="29"/>
    <w:bookmarkStart w:id="32" w:name="incident-response-team"/>
    <w:p>
      <w:pPr>
        <w:pStyle w:val="Heading2"/>
      </w:pPr>
      <w:r>
        <w:t xml:space="preserve">5. Incident Response Team</w:t>
      </w:r>
    </w:p>
    <w:bookmarkStart w:id="30" w:name="team-composition"/>
    <w:p>
      <w:pPr>
        <w:pStyle w:val="Heading3"/>
      </w:pPr>
      <w:r>
        <w:t xml:space="preserve">5.1 Team Composition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392"/>
        <w:gridCol w:w="1650"/>
        <w:gridCol w:w="1485"/>
        <w:gridCol w:w="239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Backup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Robert Williams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234-5678 / ext 4501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Privacy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Patricia Gomez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234-5679 / ext 4500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Legal Counsel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Patricia Gomez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External: Baker McKenzie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234-5680 / ext 4510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 Security Lead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234-5681 / ext 4520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Communications Lead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Angela Martinez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234-5682 / ext 4530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Representative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Lisa Wong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234-5683 / ext 4540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HR Representative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Tom Foster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234-5684 / ext 4550</w:t>
            </w:r>
          </w:p>
        </w:tc>
      </w:tr>
    </w:tbl>
    <w:bookmarkEnd w:id="30"/>
    <w:bookmarkStart w:id="31" w:name="escalation-matrix"/>
    <w:p>
      <w:pPr>
        <w:pStyle w:val="Heading3"/>
      </w:pPr>
      <w:r>
        <w:t xml:space="preserve">5.2 Escalation Matrix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870"/>
        <w:gridCol w:w="405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 Notification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Confirmed breach, any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 + Privacy Officer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Suspected breach, potential PHI exposure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Ransomware/active cyberattack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 + IT Security + Legal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Media inquiry about potential breach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Communications Lead + Legal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Law enforcement contact about breach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Legal Counsel + Incident Commander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Breach involving &gt;500 individuals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team + CEO + Board notification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Breach involving employee PHI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team + HR Representative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End w:id="32"/>
    <w:bookmarkStart w:id="36" w:name="notification-content-requirements"/>
    <w:p>
      <w:pPr>
        <w:pStyle w:val="Heading2"/>
      </w:pPr>
      <w:r>
        <w:t xml:space="preserve">6. Notification Content Requirements</w:t>
      </w:r>
    </w:p>
    <w:bookmarkStart w:id="33" w:name="individual-notification-45-cfr-164.404c"/>
    <w:p>
      <w:pPr>
        <w:pStyle w:val="Heading3"/>
      </w:pPr>
      <w:r>
        <w:t xml:space="preserve">6.1 Individual Notification (45 CFR §164.404(c))</w:t>
      </w:r>
    </w:p>
    <w:p>
      <w:pPr>
        <w:pStyle w:val="FirstParagraph"/>
      </w:pPr>
      <w:r>
        <w:t xml:space="preserve">Each patient notification letter must contain: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Brief description</w:t>
      </w:r>
      <w:r>
        <w:t xml:space="preserve"> </w:t>
      </w:r>
      <w:r>
        <w:t xml:space="preserve">of what happened, including dates of breach and discovery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Types of PHI involved</w:t>
      </w:r>
      <w:r>
        <w:t xml:space="preserve"> </w:t>
      </w:r>
      <w:r>
        <w:t xml:space="preserve">(e.g., name, SSN, diagnosis, treatment information)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Steps the individual should take</w:t>
      </w:r>
      <w:r>
        <w:t xml:space="preserve"> </w:t>
      </w:r>
      <w:r>
        <w:t xml:space="preserve">to protect themselves from potential harm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Description of what the organization is doing</w:t>
      </w:r>
      <w:r>
        <w:t xml:space="preserve"> </w:t>
      </w:r>
      <w:r>
        <w:t xml:space="preserve">to investigate, mitigate, and prevent recurrence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Contact information</w:t>
      </w:r>
      <w:r>
        <w:t xml:space="preserve"> </w:t>
      </w:r>
      <w:r>
        <w:t xml:space="preserve">for questions — toll-free number, email, postal address</w:t>
      </w:r>
    </w:p>
    <w:p>
      <w:pPr>
        <w:pStyle w:val="FirstParagraph"/>
      </w:pPr>
      <w:r>
        <w:rPr>
          <w:bCs/>
          <w:b/>
        </w:rPr>
        <w:t xml:space="preserve">Notification Delivery Methods (in priority order):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82"/>
        <w:gridCol w:w="4040"/>
        <w:gridCol w:w="169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Used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First-class 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method — to last known address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Certified mail log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Only if individual previously consented to 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Delivery receipt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Substitute notice (web)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Insufficient/outdated contact for ≥10 individuals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Website posting log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Substitute notice (media)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Insufficient contact for ≥10 in a 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Media placement log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Urgent (phone/email)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Imminent misuse threat — supplements written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Call log</w:t>
            </w:r>
          </w:p>
        </w:tc>
      </w:tr>
    </w:tbl>
    <w:bookmarkEnd w:id="33"/>
    <w:bookmarkStart w:id="34" w:name="hhs-ocr-notification"/>
    <w:p>
      <w:pPr>
        <w:pStyle w:val="Heading3"/>
      </w:pPr>
      <w:r>
        <w:t xml:space="preserve">6.2 HHS OCR Notification</w:t>
      </w:r>
    </w:p>
    <w:p>
      <w:pPr>
        <w:pStyle w:val="FirstParagraph"/>
      </w:pPr>
      <w:r>
        <w:rPr>
          <w:bCs/>
          <w:b/>
        </w:rPr>
        <w:t xml:space="preserve">For breaches affecting ≥500 individuals:</w:t>
      </w:r>
      <w:r>
        <w:t xml:space="preserve"> </w:t>
      </w:r>
      <w:r>
        <w:t xml:space="preserve">- Submit via HHS Breach Portal: https://ocrportal.hhs.gov/ocr/breach/</w:t>
      </w:r>
      <w:r>
        <w:t xml:space="preserve"> </w:t>
      </w:r>
      <w:r>
        <w:t xml:space="preserve">- Posted publicly on HHS</w:t>
      </w:r>
      <w:r>
        <w:t xml:space="preserve"> </w:t>
      </w:r>
      <w:r>
        <w:t xml:space="preserve">“</w:t>
      </w:r>
      <w:r>
        <w:t xml:space="preserve">Wall of Shame</w:t>
      </w:r>
      <w:r>
        <w:t xml:space="preserve">”</w:t>
      </w:r>
      <w:r>
        <w:t xml:space="preserve"> </w:t>
      </w:r>
      <w:r>
        <w:t xml:space="preserve">- Media notification also required</w:t>
      </w:r>
    </w:p>
    <w:p>
      <w:pPr>
        <w:pStyle w:val="BodyText"/>
      </w:pPr>
      <w:r>
        <w:rPr>
          <w:bCs/>
          <w:b/>
        </w:rPr>
        <w:t xml:space="preserve">For breaches affecting &lt;500 individuals:</w:t>
      </w:r>
      <w:r>
        <w:t xml:space="preserve"> </w:t>
      </w:r>
      <w:r>
        <w:t xml:space="preserve">- Log maintained internally throughout calendar year</w:t>
      </w:r>
      <w:r>
        <w:t xml:space="preserve"> </w:t>
      </w:r>
      <w:r>
        <w:t xml:space="preserve">- Annual submission to HHS OCR within 60 days of year end</w:t>
      </w:r>
      <w:r>
        <w:t xml:space="preserve"> </w:t>
      </w:r>
      <w:r>
        <w:t xml:space="preserve">- Not publicly posted</w:t>
      </w:r>
    </w:p>
    <w:bookmarkEnd w:id="34"/>
    <w:bookmarkStart w:id="35" w:name="state-attorney-general-notifications"/>
    <w:p>
      <w:pPr>
        <w:pStyle w:val="Heading3"/>
      </w:pPr>
      <w:r>
        <w:t xml:space="preserve">6.3 State Attorney General Notifications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403"/>
        <w:gridCol w:w="1102"/>
        <w:gridCol w:w="1002"/>
        <w:gridCol w:w="441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Deadline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Additional Requirements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California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Expedited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Copy of notification to AG; credit monitoring offer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York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Expedited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Detailed incident 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Texas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submission to AG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Florida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Written notice to Department of Legal Affairs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Illinois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Expedited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Notice to AG and DFPR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(Other states)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 to state breach notification matrix</w:t>
            </w:r>
          </w:p>
        </w:tc>
      </w:tr>
    </w:tbl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DentalCare Pro operates clinics in California, Texas, and Illinois. All three states have enhanced notification requirements beyond HIPAA.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3" w:name="breach-scenarios-and-response-playbooks"/>
    <w:p>
      <w:pPr>
        <w:pStyle w:val="Heading2"/>
      </w:pPr>
      <w:r>
        <w:t xml:space="preserve">7. Breach Scenarios and Response Playbooks</w:t>
      </w:r>
    </w:p>
    <w:bookmarkStart w:id="38" w:name="scenario-ransomware-attack"/>
    <w:p>
      <w:pPr>
        <w:pStyle w:val="Heading3"/>
      </w:pPr>
      <w:r>
        <w:t xml:space="preserve">7.1 Scenario: Ransomware Attack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83"/>
        <w:gridCol w:w="623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Containment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Isolate affected systems, disconnect from network, preserve forensic evidence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Determine if PHI was exfiltrated (not just encrypted); engage forensic firm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Presumed breach unless forensic evidence confirms no exfiltration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Restore from clean backups per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Rollback_and_Contingency_Plan.md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Post-incident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Root cause analysis, security control enhancement, staff re-training</w:t>
            </w:r>
          </w:p>
        </w:tc>
      </w:tr>
    </w:tbl>
    <w:bookmarkEnd w:id="38"/>
    <w:bookmarkStart w:id="39" w:name="scenario-loststolen-device"/>
    <w:p>
      <w:pPr>
        <w:pStyle w:val="Heading3"/>
      </w:pPr>
      <w:r>
        <w:t xml:space="preserve">7.2 Scenario: Lost/Stolen Device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83"/>
        <w:gridCol w:w="623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Containment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Remote wipe initiated, user sessions invalidated, VPN cert revoked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Determine if device had ePHI; verify full-disk encryption 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FDE active and enabled: no breach (data rendered unreadable). If not: breach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Replace device, re-provision access, update device inventory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Post-incident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FDE compliance across all devices, retrain user</w:t>
            </w:r>
          </w:p>
        </w:tc>
      </w:tr>
    </w:tbl>
    <w:bookmarkEnd w:id="39"/>
    <w:bookmarkStart w:id="40" w:name="scenario-misdirected-phi-faxemailmail"/>
    <w:p>
      <w:pPr>
        <w:pStyle w:val="Heading3"/>
      </w:pPr>
      <w:r>
        <w:t xml:space="preserve">7.3 Scenario: Misdirected PHI (Fax/Email/Mail)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83"/>
        <w:gridCol w:w="623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Containment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Contact recipient, request deletion/return, document response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Apply four-factor test; evaluate recipient type and PHI involved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Often qualifies for exclusion under §164.402(1) — document reasoning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 contact information, verify fax/email addresses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Post-incident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 confirmation dialogs for fax/email with PHI</w:t>
            </w:r>
          </w:p>
        </w:tc>
      </w:tr>
    </w:tbl>
    <w:bookmarkEnd w:id="40"/>
    <w:bookmarkStart w:id="41" w:name="X815fd39000a7e20e81c45050f42b6dace05b39d"/>
    <w:p>
      <w:pPr>
        <w:pStyle w:val="Heading3"/>
      </w:pPr>
      <w:r>
        <w:t xml:space="preserve">7.4 Scenario: Unauthorized Employee Access (Snooping)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83"/>
        <w:gridCol w:w="623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Containment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Revoke employee access, initiate HR investigation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 trail review — determine which records accessed and whether disclosed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employee only viewed (no further disclosure) — may qualify for exclusion. If disclosed further — breach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Sanction employee per policy, enhance access monitoring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Post-incident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access controls, implement anomaly detection improvements</w:t>
            </w:r>
          </w:p>
        </w:tc>
      </w:tr>
    </w:tbl>
    <w:bookmarkEnd w:id="41"/>
    <w:bookmarkStart w:id="42" w:name="scenario-migration-data-exposure"/>
    <w:p>
      <w:pPr>
        <w:pStyle w:val="Heading3"/>
      </w:pPr>
      <w:r>
        <w:t xml:space="preserve">7.5 Scenario: Migration Data Exposure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83"/>
        <w:gridCol w:w="623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Containment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Halt migration process, secure exposed data, revoke access to staging environments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Determine if production PHI was exposed in dev/test/staging without de-identification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real PHI exposed to unauthorized persons: breach. If contained to authorized migration team: assess further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Re-run data masking pipeline, verify all non-production environments use de-identified 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Post-incident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Strengthen data masking validation, add automated PHI detection in CI/CD pipeline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End w:id="43"/>
    <w:bookmarkStart w:id="46" w:name="documentation-and-record-keeping"/>
    <w:p>
      <w:pPr>
        <w:pStyle w:val="Heading2"/>
      </w:pPr>
      <w:r>
        <w:t xml:space="preserve">8. Documentation and Record Keeping</w:t>
      </w:r>
    </w:p>
    <w:bookmarkStart w:id="44" w:name="breach-investigation-documentation"/>
    <w:p>
      <w:pPr>
        <w:pStyle w:val="Heading3"/>
      </w:pPr>
      <w:r>
        <w:t xml:space="preserve">8.1 Breach Investigation Documentation</w:t>
      </w:r>
    </w:p>
    <w:p>
      <w:pPr>
        <w:pStyle w:val="FirstParagraph"/>
      </w:pPr>
      <w:r>
        <w:t xml:space="preserve">Every potential breach must be documented with: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Retention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Initial Incident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Discoverer / 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Four-Factor Risk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Privacy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Forensic Investigation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Security / Vendor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Breach Determination Decision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Privacy Officer + 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Letters (template)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Legal + Communications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Mailing 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Administration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HHS OCR Submission 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Privacy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State AG Submission 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Root Cause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Corrective Action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</w:t>
            </w:r>
          </w:p>
        </w:tc>
      </w:tr>
    </w:tbl>
    <w:bookmarkEnd w:id="44"/>
    <w:bookmarkStart w:id="45" w:name="breach-log"/>
    <w:p>
      <w:pPr>
        <w:pStyle w:val="Heading3"/>
      </w:pPr>
      <w:r>
        <w:t xml:space="preserve">8.2 Breach Log</w:t>
      </w:r>
    </w:p>
    <w:p>
      <w:pPr>
        <w:pStyle w:val="FirstParagraph"/>
      </w:pPr>
      <w:r>
        <w:t xml:space="preserve">All potential breaches (including those determined to NOT be breaches) are logged: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09"/>
        <w:gridCol w:w="1535"/>
        <w:gridCol w:w="1777"/>
        <w:gridCol w:w="169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Log Entry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 Discovered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2024-08-22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2025-02-10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Misfaxed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Laptop left in car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Shared acct access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 Elements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Name,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demographics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Name, appt history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# Individuals Affected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Potential: ~200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Assessment 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(FDE active)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Breach Determination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 breach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 breach (encrypted)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 breach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Corrective 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Fax 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counseling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Eliminate shared acct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progress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5"/>
    <w:bookmarkEnd w:id="46"/>
    <w:bookmarkStart w:id="49" w:name="training-and-drills"/>
    <w:p>
      <w:pPr>
        <w:pStyle w:val="Heading2"/>
      </w:pPr>
      <w:r>
        <w:t xml:space="preserve">9. Training and Drills</w:t>
      </w:r>
    </w:p>
    <w:bookmarkStart w:id="47" w:name="training-requirements"/>
    <w:p>
      <w:pPr>
        <w:pStyle w:val="Heading3"/>
      </w:pPr>
      <w:r>
        <w:t xml:space="preserve">9.1 Training Requirements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400"/>
        <w:gridCol w:w="1955"/>
        <w:gridCol w:w="156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Frequency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Breach recognition and reporting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staff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Breach investigation procedures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IRT members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Semi-annual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drafting and 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Privacy + 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Forensic evidence preservation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Media response during breach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</w:t>
            </w:r>
          </w:p>
        </w:tc>
      </w:tr>
    </w:tbl>
    <w:bookmarkEnd w:id="47"/>
    <w:bookmarkStart w:id="48" w:name="tabletop-exercise-schedule"/>
    <w:p>
      <w:pPr>
        <w:pStyle w:val="Heading3"/>
      </w:pPr>
      <w:r>
        <w:t xml:space="preserve">9.2 Tabletop Exercise Schedule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046"/>
        <w:gridCol w:w="1392"/>
        <w:gridCol w:w="1392"/>
        <w:gridCol w:w="208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Exercise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 Conducted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 Scheduled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Participants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Ransomware 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IRT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Lost device 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2024-11-20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+ Privacy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Migration data exposure 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2025-01-10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IRT + Dev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Large-scale breach (&gt;500)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2024-09-15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IRT + Leadership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8"/>
    <w:bookmarkEnd w:id="49"/>
    <w:bookmarkStart w:id="50" w:name="approval"/>
    <w:p>
      <w:pPr>
        <w:pStyle w:val="Heading2"/>
      </w:pPr>
      <w:r>
        <w:t xml:space="preserve">10.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Chief Compliance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Legal Counsel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Patricia Gomez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Director of IT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semi-annually. Next review: 2025-11-01. Emergency breach hotline: (555) 234-9911 (24/7).</w:t>
      </w:r>
    </w:p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7" Target="../migration/Rollback_and_Contingency_Plan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../migration/Rollback_and_Contingency_Plan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2026-03-12T08:18:54Z</dcterms:created>
  <dcterms:modified xsi:type="dcterms:W3CDTF">2026-03-12T08:18:54Z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