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63" w:name="Xfb97a12b41ca1ea8fdf92b226f29ce8dba4ae94"/>
    <w:p>
      <w:pPr>
        <w:pStyle w:val="Heading1"/>
      </w:pPr>
      <w:r>
        <w:t xml:space="preserve">HIPAA Compliance Checklist — DentalCare Pro System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Document ID</w:t>
            </w:r>
          </w:p>
        </w:tc>
        <w:tc>
          <w:tcPr/>
          <w:p>
            <w:pPr>
              <w:pStyle w:val="Compact"/>
              <w:jc w:val="left"/>
            </w:pPr>
            <w:r>
              <w:t xml:space="preserve">COMP-CHK-001</w:t>
            </w:r>
          </w:p>
        </w:tc>
      </w:tr>
      <w:tr>
        <w:tc>
          <w:tcPr/>
          <w:p>
            <w:pPr>
              <w:pStyle w:val="Compact"/>
              <w:jc w:val="left"/>
            </w:pPr>
            <w:r>
              <w:rPr>
                <w:bCs/>
                <w:b/>
              </w:rPr>
              <w:t xml:space="preserve">Version</w:t>
            </w:r>
          </w:p>
        </w:tc>
        <w:tc>
          <w:tcPr/>
          <w:p>
            <w:pPr>
              <w:pStyle w:val="Compact"/>
              <w:jc w:val="left"/>
            </w:pPr>
            <w:r>
              <w:t xml:space="preserve">3.2</w:t>
            </w:r>
          </w:p>
        </w:tc>
      </w:tr>
      <w:tr>
        <w:tc>
          <w:tcPr/>
          <w:p>
            <w:pPr>
              <w:pStyle w:val="Compact"/>
              <w:jc w:val="left"/>
            </w:pPr>
            <w:r>
              <w:rPr>
                <w:bCs/>
                <w:b/>
              </w:rPr>
              <w:t xml:space="preserve">Effective Date</w:t>
            </w:r>
          </w:p>
        </w:tc>
        <w:tc>
          <w:tcPr/>
          <w:p>
            <w:pPr>
              <w:pStyle w:val="Compact"/>
              <w:jc w:val="left"/>
            </w:pPr>
            <w:r>
              <w:t xml:space="preserve">2025-09-01</w:t>
            </w:r>
          </w:p>
        </w:tc>
      </w:tr>
      <w:tr>
        <w:tc>
          <w:tcPr/>
          <w:p>
            <w:pPr>
              <w:pStyle w:val="Compact"/>
              <w:jc w:val="left"/>
            </w:pPr>
            <w:r>
              <w:rPr>
                <w:bCs/>
                <w:b/>
              </w:rPr>
              <w:t xml:space="preserve">Review Date</w:t>
            </w:r>
          </w:p>
        </w:tc>
        <w:tc>
          <w:tcPr/>
          <w:p>
            <w:pPr>
              <w:pStyle w:val="Compact"/>
              <w:jc w:val="left"/>
            </w:pPr>
            <w:r>
              <w:t xml:space="preserve">2026-03-01</w:t>
            </w:r>
          </w:p>
        </w:tc>
      </w:tr>
      <w:tr>
        <w:tc>
          <w:tcPr/>
          <w:p>
            <w:pPr>
              <w:pStyle w:val="Compact"/>
              <w:jc w:val="left"/>
            </w:pPr>
            <w:r>
              <w:rPr>
                <w:bCs/>
                <w:b/>
              </w:rPr>
              <w:t xml:space="preserve">Owner</w:t>
            </w:r>
          </w:p>
        </w:tc>
        <w:tc>
          <w:tcPr/>
          <w:p>
            <w:pPr>
              <w:pStyle w:val="Compact"/>
              <w:jc w:val="left"/>
            </w:pPr>
            <w:r>
              <w:t xml:space="preserve">Chief Compliance Officer — Dr. Sarah Kim</w:t>
            </w:r>
          </w:p>
        </w:tc>
      </w:tr>
      <w:tr>
        <w:tc>
          <w:tcPr/>
          <w:p>
            <w:pPr>
              <w:pStyle w:val="Compact"/>
              <w:jc w:val="left"/>
            </w:pPr>
            <w:r>
              <w:rPr>
                <w:bCs/>
                <w:b/>
              </w:rPr>
              <w:t xml:space="preserve">Classification</w:t>
            </w:r>
          </w:p>
        </w:tc>
        <w:tc>
          <w:tcPr/>
          <w:p>
            <w:pPr>
              <w:pStyle w:val="Compact"/>
              <w:jc w:val="left"/>
            </w:pPr>
            <w:r>
              <w:t xml:space="preserve">Internal — Restricted</w:t>
            </w:r>
          </w:p>
        </w:tc>
      </w:tr>
    </w:tbl>
    <w:bookmarkStart w:id="20" w:name="version-history"/>
    <w:p>
      <w:pPr>
        <w:pStyle w:val="Heading2"/>
      </w:pPr>
      <w:r>
        <w:t xml:space="preserve">Version History</w:t>
      </w:r>
    </w:p>
    <w:tbl>
      <w:tblPr>
        <w:tblStyle w:val="Table"/>
        <w:tblW w:type="pct" w:w="5000"/>
        <w:tblLook w:firstRow="1" w:lastRow="0" w:firstColumn="0" w:lastColumn="0" w:noHBand="0" w:noVBand="0" w:val="0020"/>
        <w:jc w:val="start"/>
      </w:tblPr>
      <w:tblGrid>
        <w:gridCol w:w="838"/>
        <w:gridCol w:w="1118"/>
        <w:gridCol w:w="1677"/>
        <w:gridCol w:w="4286"/>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Author</w:t>
            </w:r>
          </w:p>
        </w:tc>
        <w:tc>
          <w:tcPr/>
          <w:p>
            <w:pPr>
              <w:pStyle w:val="Compact"/>
              <w:jc w:val="left"/>
            </w:pPr>
            <w:r>
              <w:t xml:space="preserve">Changes</w:t>
            </w:r>
          </w:p>
        </w:tc>
      </w:tr>
      <w:tr>
        <w:tc>
          <w:tcPr/>
          <w:p>
            <w:pPr>
              <w:pStyle w:val="Compact"/>
              <w:jc w:val="left"/>
            </w:pPr>
            <w:r>
              <w:t xml:space="preserve">1.0</w:t>
            </w:r>
          </w:p>
        </w:tc>
        <w:tc>
          <w:tcPr/>
          <w:p>
            <w:pPr>
              <w:pStyle w:val="Compact"/>
              <w:jc w:val="left"/>
            </w:pPr>
            <w:r>
              <w:t xml:space="preserve">2023-01-15</w:t>
            </w:r>
          </w:p>
        </w:tc>
        <w:tc>
          <w:tcPr/>
          <w:p>
            <w:pPr>
              <w:pStyle w:val="Compact"/>
              <w:jc w:val="left"/>
            </w:pPr>
            <w:r>
              <w:t xml:space="preserve">Sarah Kim</w:t>
            </w:r>
          </w:p>
        </w:tc>
        <w:tc>
          <w:tcPr/>
          <w:p>
            <w:pPr>
              <w:pStyle w:val="Compact"/>
              <w:jc w:val="left"/>
            </w:pPr>
            <w:r>
              <w:t xml:space="preserve">Initial checklist creation</w:t>
            </w:r>
          </w:p>
        </w:tc>
      </w:tr>
      <w:tr>
        <w:tc>
          <w:tcPr/>
          <w:p>
            <w:pPr>
              <w:pStyle w:val="Compact"/>
              <w:jc w:val="left"/>
            </w:pPr>
            <w:r>
              <w:t xml:space="preserve">2.0</w:t>
            </w:r>
          </w:p>
        </w:tc>
        <w:tc>
          <w:tcPr/>
          <w:p>
            <w:pPr>
              <w:pStyle w:val="Compact"/>
              <w:jc w:val="left"/>
            </w:pPr>
            <w:r>
              <w:t xml:space="preserve">2024-02-20</w:t>
            </w:r>
          </w:p>
        </w:tc>
        <w:tc>
          <w:tcPr/>
          <w:p>
            <w:pPr>
              <w:pStyle w:val="Compact"/>
              <w:jc w:val="left"/>
            </w:pPr>
            <w:r>
              <w:t xml:space="preserve">Sarah Kim</w:t>
            </w:r>
          </w:p>
        </w:tc>
        <w:tc>
          <w:tcPr/>
          <w:p>
            <w:pPr>
              <w:pStyle w:val="Compact"/>
              <w:jc w:val="left"/>
            </w:pPr>
            <w:r>
              <w:t xml:space="preserve">Added Omnibus Rule requirements</w:t>
            </w:r>
          </w:p>
        </w:tc>
      </w:tr>
      <w:tr>
        <w:tc>
          <w:tcPr/>
          <w:p>
            <w:pPr>
              <w:pStyle w:val="Compact"/>
              <w:jc w:val="left"/>
            </w:pPr>
            <w:r>
              <w:t xml:space="preserve">2.1</w:t>
            </w:r>
          </w:p>
        </w:tc>
        <w:tc>
          <w:tcPr/>
          <w:p>
            <w:pPr>
              <w:pStyle w:val="Compact"/>
              <w:jc w:val="left"/>
            </w:pPr>
            <w:r>
              <w:t xml:space="preserve">2024-06-10</w:t>
            </w:r>
          </w:p>
        </w:tc>
        <w:tc>
          <w:tcPr/>
          <w:p>
            <w:pPr>
              <w:pStyle w:val="Compact"/>
              <w:jc w:val="left"/>
            </w:pPr>
            <w:r>
              <w:t xml:space="preserve">James Ortiz</w:t>
            </w:r>
          </w:p>
        </w:tc>
        <w:tc>
          <w:tcPr/>
          <w:p>
            <w:pPr>
              <w:pStyle w:val="Compact"/>
              <w:jc w:val="left"/>
            </w:pPr>
            <w:r>
              <w:t xml:space="preserve">Updated encryption standards to AES-256</w:t>
            </w:r>
          </w:p>
        </w:tc>
      </w:tr>
      <w:tr>
        <w:tc>
          <w:tcPr/>
          <w:p>
            <w:pPr>
              <w:pStyle w:val="Compact"/>
              <w:jc w:val="left"/>
            </w:pPr>
            <w:r>
              <w:t xml:space="preserve">3.0</w:t>
            </w:r>
          </w:p>
        </w:tc>
        <w:tc>
          <w:tcPr/>
          <w:p>
            <w:pPr>
              <w:pStyle w:val="Compact"/>
              <w:jc w:val="left"/>
            </w:pPr>
            <w:r>
              <w:t xml:space="preserve">2025-03-01</w:t>
            </w:r>
          </w:p>
        </w:tc>
        <w:tc>
          <w:tcPr/>
          <w:p>
            <w:pPr>
              <w:pStyle w:val="Compact"/>
              <w:jc w:val="left"/>
            </w:pPr>
            <w:r>
              <w:t xml:space="preserve">Sarah Kim</w:t>
            </w:r>
          </w:p>
        </w:tc>
        <w:tc>
          <w:tcPr/>
          <w:p>
            <w:pPr>
              <w:pStyle w:val="Compact"/>
              <w:jc w:val="left"/>
            </w:pPr>
            <w:r>
              <w:t xml:space="preserve">Migration-phase compliance additions</w:t>
            </w:r>
          </w:p>
        </w:tc>
      </w:tr>
      <w:tr>
        <w:tc>
          <w:tcPr/>
          <w:p>
            <w:pPr>
              <w:pStyle w:val="Compact"/>
              <w:jc w:val="left"/>
            </w:pPr>
            <w:r>
              <w:t xml:space="preserve">3.1</w:t>
            </w:r>
          </w:p>
        </w:tc>
        <w:tc>
          <w:tcPr/>
          <w:p>
            <w:pPr>
              <w:pStyle w:val="Compact"/>
              <w:jc w:val="left"/>
            </w:pPr>
            <w:r>
              <w:t xml:space="preserve">2025-06-15</w:t>
            </w:r>
          </w:p>
        </w:tc>
        <w:tc>
          <w:tcPr/>
          <w:p>
            <w:pPr>
              <w:pStyle w:val="Compact"/>
              <w:jc w:val="left"/>
            </w:pPr>
            <w:r>
              <w:t xml:space="preserve">Michael Chen</w:t>
            </w:r>
          </w:p>
        </w:tc>
        <w:tc>
          <w:tcPr/>
          <w:p>
            <w:pPr>
              <w:pStyle w:val="Compact"/>
              <w:jc w:val="left"/>
            </w:pPr>
            <w:r>
              <w:t xml:space="preserve">Cloud deployment compliance controls</w:t>
            </w:r>
          </w:p>
        </w:tc>
      </w:tr>
      <w:tr>
        <w:tc>
          <w:tcPr/>
          <w:p>
            <w:pPr>
              <w:pStyle w:val="Compact"/>
              <w:jc w:val="left"/>
            </w:pPr>
            <w:r>
              <w:t xml:space="preserve">3.2</w:t>
            </w:r>
          </w:p>
        </w:tc>
        <w:tc>
          <w:tcPr/>
          <w:p>
            <w:pPr>
              <w:pStyle w:val="Compact"/>
              <w:jc w:val="left"/>
            </w:pPr>
            <w:r>
              <w:t xml:space="preserve">2025-09-01</w:t>
            </w:r>
          </w:p>
        </w:tc>
        <w:tc>
          <w:tcPr/>
          <w:p>
            <w:pPr>
              <w:pStyle w:val="Compact"/>
              <w:jc w:val="left"/>
            </w:pPr>
            <w:r>
              <w:t xml:space="preserve">Sarah Kim</w:t>
            </w:r>
          </w:p>
        </w:tc>
        <w:tc>
          <w:tcPr/>
          <w:p>
            <w:pPr>
              <w:pStyle w:val="Compact"/>
              <w:jc w:val="left"/>
            </w:pPr>
            <w:r>
              <w:t xml:space="preserve">Annual review and BAA updates</w:t>
            </w:r>
          </w:p>
        </w:tc>
      </w:tr>
    </w:tbl>
    <w:p>
      <w:r>
        <w:pict>
          <v:rect style="width:0;height:1.5pt" o:hralign="center" o:hrstd="t" o:hr="t"/>
        </w:pict>
      </w:r>
    </w:p>
    <w:bookmarkEnd w:id="20"/>
    <w:bookmarkStart w:id="22" w:name="purpose"/>
    <w:p>
      <w:pPr>
        <w:pStyle w:val="Heading2"/>
      </w:pPr>
      <w:r>
        <w:t xml:space="preserve">1. Purpose</w:t>
      </w:r>
    </w:p>
    <w:p>
      <w:pPr>
        <w:pStyle w:val="FirstParagraph"/>
      </w:pPr>
      <w:r>
        <w:t xml:space="preserve">This checklist provides a comprehensive compliance framework for the DentalCare Pro system, covering all phases of the VB6-to-Java Spring Boot migration. It ensures that Protected Health Information (PHI) is handled in accordance with the Health Insurance Portability and Accountability Act of 1996 (HIPAA), the HITECH Act, and the Omnibus Rule of 2013.</w:t>
      </w:r>
    </w:p>
    <w:p>
      <w:pPr>
        <w:pStyle w:val="BodyText"/>
      </w:pPr>
      <w:r>
        <w:t xml:space="preserve">All departments involved in the migration — Development, IT Operations, Clinical Staff, Front Desk, and Billing — must adhere to every item in this checklist. Non-compliance may result in civil monetary penalties ranging from $100 to $50,000 per violation, with an annual maximum of $1.5 million per violation category (45 CFR §160.404).</w:t>
      </w:r>
    </w:p>
    <w:p>
      <w:pPr>
        <w:pStyle w:val="BodyText"/>
      </w:pPr>
      <w:r>
        <w:t xml:space="preserve">For detailed security rule requirements, see</w:t>
      </w:r>
      <w:r>
        <w:t xml:space="preserve"> </w:t>
      </w:r>
      <w:hyperlink r:id="rId21">
        <w:r>
          <w:rPr>
            <w:rStyle w:val="Hyperlink"/>
          </w:rPr>
          <w:t xml:space="preserve">HIPAA_Security_Rule_Requirements.md</w:t>
        </w:r>
      </w:hyperlink>
      <w:r>
        <w:t xml:space="preserve">.</w:t>
      </w:r>
    </w:p>
    <w:p>
      <w:r>
        <w:pict>
          <v:rect style="width:0;height:1.5pt" o:hralign="center" o:hrstd="t" o:hr="t"/>
        </w:pict>
      </w:r>
    </w:p>
    <w:bookmarkEnd w:id="22"/>
    <w:bookmarkStart w:id="34" w:name="administrative-safeguards-45-cfr-164.308"/>
    <w:p>
      <w:pPr>
        <w:pStyle w:val="Heading2"/>
      </w:pPr>
      <w:r>
        <w:t xml:space="preserve">2. Administrative Safeguards (45 CFR §164.308)</w:t>
      </w:r>
    </w:p>
    <w:bookmarkStart w:id="23" w:name="security-management-process-164.308a1"/>
    <w:p>
      <w:pPr>
        <w:pStyle w:val="Heading3"/>
      </w:pPr>
      <w:r>
        <w:t xml:space="preserve">2.1 Security Management Process — §164.308(a)(1)</w:t>
      </w:r>
    </w:p>
    <w:p>
      <w:pPr>
        <w:numPr>
          <w:ilvl w:val="0"/>
          <w:numId w:val="1001"/>
        </w:numPr>
        <w:pStyle w:val="Compact"/>
      </w:pPr>
      <w:r>
        <w:t xml:space="preserve">☒ Risk analysis conducted and documented (last completed: 2025-08-15)</w:t>
      </w:r>
    </w:p>
    <w:p>
      <w:pPr>
        <w:numPr>
          <w:ilvl w:val="0"/>
          <w:numId w:val="1001"/>
        </w:numPr>
        <w:pStyle w:val="Compact"/>
      </w:pPr>
      <w:r>
        <w:t xml:space="preserve">☒ Risk management plan in place with identified mitigation strategies</w:t>
      </w:r>
    </w:p>
    <w:p>
      <w:pPr>
        <w:numPr>
          <w:ilvl w:val="0"/>
          <w:numId w:val="1001"/>
        </w:numPr>
        <w:pStyle w:val="Compact"/>
      </w:pPr>
      <w:r>
        <w:t xml:space="preserve">☒ Sanction policy for workforce members who violate security policies</w:t>
      </w:r>
    </w:p>
    <w:p>
      <w:pPr>
        <w:numPr>
          <w:ilvl w:val="0"/>
          <w:numId w:val="1001"/>
        </w:numPr>
        <w:pStyle w:val="Compact"/>
      </w:pPr>
      <w:r>
        <w:t xml:space="preserve">☒ Information system activity review process (monthly log reviews)</w:t>
      </w:r>
    </w:p>
    <w:p>
      <w:pPr>
        <w:pStyle w:val="FirstParagraph"/>
      </w:pPr>
      <w:r>
        <w:rPr>
          <w:bCs/>
          <w:b/>
        </w:rPr>
        <w:t xml:space="preserve">Risk Analysis Summary:</w:t>
      </w:r>
    </w:p>
    <w:tbl>
      <w:tblPr>
        <w:tblStyle w:val="Table"/>
        <w:tblW w:type="pct" w:w="5000"/>
        <w:tblLook w:firstRow="1" w:lastRow="0" w:firstColumn="0" w:lastColumn="0" w:noHBand="0" w:noVBand="0" w:val="0020"/>
        <w:jc w:val="start"/>
      </w:tblPr>
      <w:tblGrid>
        <w:gridCol w:w="3203"/>
        <w:gridCol w:w="1067"/>
        <w:gridCol w:w="889"/>
        <w:gridCol w:w="1067"/>
        <w:gridCol w:w="1690"/>
      </w:tblGrid>
      <w:tr>
        <w:trPr>
          <w:tblHeader w:val="true"/>
        </w:trPr>
        <w:tc>
          <w:tcPr/>
          <w:p>
            <w:pPr>
              <w:pStyle w:val="Compact"/>
              <w:jc w:val="left"/>
            </w:pPr>
            <w:r>
              <w:t xml:space="preserve">Risk Area</w:t>
            </w:r>
          </w:p>
        </w:tc>
        <w:tc>
          <w:tcPr/>
          <w:p>
            <w:pPr>
              <w:pStyle w:val="Compact"/>
              <w:jc w:val="left"/>
            </w:pPr>
            <w:r>
              <w:t xml:space="preserve">Likelihood</w:t>
            </w:r>
          </w:p>
        </w:tc>
        <w:tc>
          <w:tcPr/>
          <w:p>
            <w:pPr>
              <w:pStyle w:val="Compact"/>
              <w:jc w:val="left"/>
            </w:pPr>
            <w:r>
              <w:t xml:space="preserve">Impact</w:t>
            </w:r>
          </w:p>
        </w:tc>
        <w:tc>
          <w:tcPr/>
          <w:p>
            <w:pPr>
              <w:pStyle w:val="Compact"/>
              <w:jc w:val="left"/>
            </w:pPr>
            <w:r>
              <w:t xml:space="preserve">Risk Level</w:t>
            </w:r>
          </w:p>
        </w:tc>
        <w:tc>
          <w:tcPr/>
          <w:p>
            <w:pPr>
              <w:pStyle w:val="Compact"/>
              <w:jc w:val="left"/>
            </w:pPr>
            <w:r>
              <w:t xml:space="preserve">Mitigation Status</w:t>
            </w:r>
          </w:p>
        </w:tc>
      </w:tr>
      <w:tr>
        <w:tc>
          <w:tcPr/>
          <w:p>
            <w:pPr>
              <w:pStyle w:val="Compact"/>
              <w:jc w:val="left"/>
            </w:pPr>
            <w:r>
              <w:t xml:space="preserve">Unauthorized PHI access</w:t>
            </w:r>
          </w:p>
        </w:tc>
        <w:tc>
          <w:tcPr/>
          <w:p>
            <w:pPr>
              <w:pStyle w:val="Compact"/>
              <w:jc w:val="left"/>
            </w:pPr>
            <w:r>
              <w:t xml:space="preserve">Medium</w:t>
            </w:r>
          </w:p>
        </w:tc>
        <w:tc>
          <w:tcPr/>
          <w:p>
            <w:pPr>
              <w:pStyle w:val="Compact"/>
              <w:jc w:val="left"/>
            </w:pPr>
            <w:r>
              <w:t xml:space="preserve">Critical</w:t>
            </w:r>
          </w:p>
        </w:tc>
        <w:tc>
          <w:tcPr/>
          <w:p>
            <w:pPr>
              <w:pStyle w:val="Compact"/>
              <w:jc w:val="left"/>
            </w:pPr>
            <w:r>
              <w:t xml:space="preserve">High</w:t>
            </w:r>
          </w:p>
        </w:tc>
        <w:tc>
          <w:tcPr/>
          <w:p>
            <w:pPr>
              <w:pStyle w:val="Compact"/>
              <w:jc w:val="left"/>
            </w:pPr>
            <w:r>
              <w:t xml:space="preserve">Mitigated</w:t>
            </w:r>
          </w:p>
        </w:tc>
      </w:tr>
      <w:tr>
        <w:tc>
          <w:tcPr/>
          <w:p>
            <w:pPr>
              <w:pStyle w:val="Compact"/>
              <w:jc w:val="left"/>
            </w:pPr>
            <w:r>
              <w:t xml:space="preserve">Data breach during migration</w:t>
            </w:r>
          </w:p>
        </w:tc>
        <w:tc>
          <w:tcPr/>
          <w:p>
            <w:pPr>
              <w:pStyle w:val="Compact"/>
              <w:jc w:val="left"/>
            </w:pPr>
            <w:r>
              <w:t xml:space="preserve">Medium</w:t>
            </w:r>
          </w:p>
        </w:tc>
        <w:tc>
          <w:tcPr/>
          <w:p>
            <w:pPr>
              <w:pStyle w:val="Compact"/>
              <w:jc w:val="left"/>
            </w:pPr>
            <w:r>
              <w:t xml:space="preserve">Critical</w:t>
            </w:r>
          </w:p>
        </w:tc>
        <w:tc>
          <w:tcPr/>
          <w:p>
            <w:pPr>
              <w:pStyle w:val="Compact"/>
              <w:jc w:val="left"/>
            </w:pPr>
            <w:r>
              <w:t xml:space="preserve">High</w:t>
            </w:r>
          </w:p>
        </w:tc>
        <w:tc>
          <w:tcPr/>
          <w:p>
            <w:pPr>
              <w:pStyle w:val="Compact"/>
              <w:jc w:val="left"/>
            </w:pPr>
            <w:r>
              <w:t xml:space="preserve">In Progress</w:t>
            </w:r>
          </w:p>
        </w:tc>
      </w:tr>
      <w:tr>
        <w:tc>
          <w:tcPr/>
          <w:p>
            <w:pPr>
              <w:pStyle w:val="Compact"/>
              <w:jc w:val="left"/>
            </w:pPr>
            <w:r>
              <w:t xml:space="preserve">Legacy VB6 unencrypted data store</w:t>
            </w:r>
          </w:p>
        </w:tc>
        <w:tc>
          <w:tcPr/>
          <w:p>
            <w:pPr>
              <w:pStyle w:val="Compact"/>
              <w:jc w:val="left"/>
            </w:pPr>
            <w:r>
              <w:t xml:space="preserve">High</w:t>
            </w:r>
          </w:p>
        </w:tc>
        <w:tc>
          <w:tcPr/>
          <w:p>
            <w:pPr>
              <w:pStyle w:val="Compact"/>
              <w:jc w:val="left"/>
            </w:pPr>
            <w:r>
              <w:t xml:space="preserve">Critical</w:t>
            </w:r>
          </w:p>
        </w:tc>
        <w:tc>
          <w:tcPr/>
          <w:p>
            <w:pPr>
              <w:pStyle w:val="Compact"/>
              <w:jc w:val="left"/>
            </w:pPr>
            <w:r>
              <w:t xml:space="preserve">Critical</w:t>
            </w:r>
          </w:p>
        </w:tc>
        <w:tc>
          <w:tcPr/>
          <w:p>
            <w:pPr>
              <w:pStyle w:val="Compact"/>
              <w:jc w:val="left"/>
            </w:pPr>
            <w:r>
              <w:t xml:space="preserve">Remediation Plan</w:t>
            </w:r>
          </w:p>
        </w:tc>
      </w:tr>
      <w:tr>
        <w:tc>
          <w:tcPr/>
          <w:p>
            <w:pPr>
              <w:pStyle w:val="Compact"/>
              <w:jc w:val="left"/>
            </w:pPr>
            <w:r>
              <w:t xml:space="preserve">Insider threat — disgruntled staff</w:t>
            </w:r>
          </w:p>
        </w:tc>
        <w:tc>
          <w:tcPr/>
          <w:p>
            <w:pPr>
              <w:pStyle w:val="Compact"/>
              <w:jc w:val="left"/>
            </w:pPr>
            <w:r>
              <w:t xml:space="preserve">Low</w:t>
            </w:r>
          </w:p>
        </w:tc>
        <w:tc>
          <w:tcPr/>
          <w:p>
            <w:pPr>
              <w:pStyle w:val="Compact"/>
              <w:jc w:val="left"/>
            </w:pPr>
            <w:r>
              <w:t xml:space="preserve">High</w:t>
            </w:r>
          </w:p>
        </w:tc>
        <w:tc>
          <w:tcPr/>
          <w:p>
            <w:pPr>
              <w:pStyle w:val="Compact"/>
              <w:jc w:val="left"/>
            </w:pPr>
            <w:r>
              <w:t xml:space="preserve">Medium</w:t>
            </w:r>
          </w:p>
        </w:tc>
        <w:tc>
          <w:tcPr/>
          <w:p>
            <w:pPr>
              <w:pStyle w:val="Compact"/>
              <w:jc w:val="left"/>
            </w:pPr>
            <w:r>
              <w:t xml:space="preserve">Mitigated</w:t>
            </w:r>
          </w:p>
        </w:tc>
      </w:tr>
      <w:tr>
        <w:tc>
          <w:tcPr/>
          <w:p>
            <w:pPr>
              <w:pStyle w:val="Compact"/>
              <w:jc w:val="left"/>
            </w:pPr>
            <w:r>
              <w:t xml:space="preserve">Ransomware attack</w:t>
            </w:r>
          </w:p>
        </w:tc>
        <w:tc>
          <w:tcPr/>
          <w:p>
            <w:pPr>
              <w:pStyle w:val="Compact"/>
              <w:jc w:val="left"/>
            </w:pPr>
            <w:r>
              <w:t xml:space="preserve">Medium</w:t>
            </w:r>
          </w:p>
        </w:tc>
        <w:tc>
          <w:tcPr/>
          <w:p>
            <w:pPr>
              <w:pStyle w:val="Compact"/>
              <w:jc w:val="left"/>
            </w:pPr>
            <w:r>
              <w:t xml:space="preserve">Critical</w:t>
            </w:r>
          </w:p>
        </w:tc>
        <w:tc>
          <w:tcPr/>
          <w:p>
            <w:pPr>
              <w:pStyle w:val="Compact"/>
              <w:jc w:val="left"/>
            </w:pPr>
            <w:r>
              <w:t xml:space="preserve">High</w:t>
            </w:r>
          </w:p>
        </w:tc>
        <w:tc>
          <w:tcPr/>
          <w:p>
            <w:pPr>
              <w:pStyle w:val="Compact"/>
              <w:jc w:val="left"/>
            </w:pPr>
            <w:r>
              <w:t xml:space="preserve">Mitigated</w:t>
            </w:r>
          </w:p>
        </w:tc>
      </w:tr>
      <w:tr>
        <w:tc>
          <w:tcPr/>
          <w:p>
            <w:pPr>
              <w:pStyle w:val="Compact"/>
              <w:jc w:val="left"/>
            </w:pPr>
            <w:r>
              <w:t xml:space="preserve">Cloud misconfiguration (AWS)</w:t>
            </w:r>
          </w:p>
        </w:tc>
        <w:tc>
          <w:tcPr/>
          <w:p>
            <w:pPr>
              <w:pStyle w:val="Compact"/>
              <w:jc w:val="left"/>
            </w:pPr>
            <w:r>
              <w:t xml:space="preserve">Medium</w:t>
            </w:r>
          </w:p>
        </w:tc>
        <w:tc>
          <w:tcPr/>
          <w:p>
            <w:pPr>
              <w:pStyle w:val="Compact"/>
              <w:jc w:val="left"/>
            </w:pPr>
            <w:r>
              <w:t xml:space="preserve">High</w:t>
            </w:r>
          </w:p>
        </w:tc>
        <w:tc>
          <w:tcPr/>
          <w:p>
            <w:pPr>
              <w:pStyle w:val="Compact"/>
              <w:jc w:val="left"/>
            </w:pPr>
            <w:r>
              <w:t xml:space="preserve">High</w:t>
            </w:r>
          </w:p>
        </w:tc>
        <w:tc>
          <w:tcPr/>
          <w:p>
            <w:pPr>
              <w:pStyle w:val="Compact"/>
              <w:jc w:val="left"/>
            </w:pPr>
            <w:r>
              <w:t xml:space="preserve">In Progress</w:t>
            </w:r>
          </w:p>
        </w:tc>
      </w:tr>
      <w:tr>
        <w:tc>
          <w:tcPr/>
          <w:p>
            <w:pPr>
              <w:pStyle w:val="Compact"/>
              <w:jc w:val="left"/>
            </w:pPr>
            <w:r>
              <w:t xml:space="preserve">Third-party vendor data leak</w:t>
            </w:r>
          </w:p>
        </w:tc>
        <w:tc>
          <w:tcPr/>
          <w:p>
            <w:pPr>
              <w:pStyle w:val="Compact"/>
              <w:jc w:val="left"/>
            </w:pPr>
            <w:r>
              <w:t xml:space="preserve">Low</w:t>
            </w:r>
          </w:p>
        </w:tc>
        <w:tc>
          <w:tcPr/>
          <w:p>
            <w:pPr>
              <w:pStyle w:val="Compact"/>
              <w:jc w:val="left"/>
            </w:pPr>
            <w:r>
              <w:t xml:space="preserve">High</w:t>
            </w:r>
          </w:p>
        </w:tc>
        <w:tc>
          <w:tcPr/>
          <w:p>
            <w:pPr>
              <w:pStyle w:val="Compact"/>
              <w:jc w:val="left"/>
            </w:pPr>
            <w:r>
              <w:t xml:space="preserve">Medium</w:t>
            </w:r>
          </w:p>
        </w:tc>
        <w:tc>
          <w:tcPr/>
          <w:p>
            <w:pPr>
              <w:pStyle w:val="Compact"/>
              <w:jc w:val="left"/>
            </w:pPr>
            <w:r>
              <w:t xml:space="preserve">Mitigated</w:t>
            </w:r>
          </w:p>
        </w:tc>
      </w:tr>
      <w:tr>
        <w:tc>
          <w:tcPr/>
          <w:p>
            <w:pPr>
              <w:pStyle w:val="Compact"/>
              <w:jc w:val="left"/>
            </w:pPr>
            <w:r>
              <w:t xml:space="preserve">Physical server room breach</w:t>
            </w:r>
          </w:p>
        </w:tc>
        <w:tc>
          <w:tcPr/>
          <w:p>
            <w:pPr>
              <w:pStyle w:val="Compact"/>
              <w:jc w:val="left"/>
            </w:pPr>
            <w:r>
              <w:t xml:space="preserve">Low</w:t>
            </w:r>
          </w:p>
        </w:tc>
        <w:tc>
          <w:tcPr/>
          <w:p>
            <w:pPr>
              <w:pStyle w:val="Compact"/>
              <w:jc w:val="left"/>
            </w:pPr>
            <w:r>
              <w:t xml:space="preserve">Medium</w:t>
            </w:r>
          </w:p>
        </w:tc>
        <w:tc>
          <w:tcPr/>
          <w:p>
            <w:pPr>
              <w:pStyle w:val="Compact"/>
              <w:jc w:val="left"/>
            </w:pPr>
            <w:r>
              <w:t xml:space="preserve">Low</w:t>
            </w:r>
          </w:p>
        </w:tc>
        <w:tc>
          <w:tcPr/>
          <w:p>
            <w:pPr>
              <w:pStyle w:val="Compact"/>
              <w:jc w:val="left"/>
            </w:pPr>
            <w:r>
              <w:t xml:space="preserve">Mitigated</w:t>
            </w:r>
          </w:p>
        </w:tc>
      </w:tr>
    </w:tbl>
    <w:bookmarkEnd w:id="23"/>
    <w:bookmarkStart w:id="24" w:name="Xe14df750736ca37718e596a9218e57610ec3247"/>
    <w:p>
      <w:pPr>
        <w:pStyle w:val="Heading3"/>
      </w:pPr>
      <w:r>
        <w:t xml:space="preserve">2.2 Assigned Security Responsibility — §164.308(a)(2)</w:t>
      </w:r>
    </w:p>
    <w:p>
      <w:pPr>
        <w:numPr>
          <w:ilvl w:val="0"/>
          <w:numId w:val="1002"/>
        </w:numPr>
        <w:pStyle w:val="Compact"/>
      </w:pPr>
      <w:r>
        <w:t xml:space="preserve">☒ HIPAA Security Officer designated: Michael Chen, Director of IT Security</w:t>
      </w:r>
    </w:p>
    <w:p>
      <w:pPr>
        <w:numPr>
          <w:ilvl w:val="0"/>
          <w:numId w:val="1002"/>
        </w:numPr>
        <w:pStyle w:val="Compact"/>
      </w:pPr>
      <w:r>
        <w:t xml:space="preserve">☒ HIPAA Privacy Officer designated: Dr. Sarah Kim, Chief Compliance Officer</w:t>
      </w:r>
    </w:p>
    <w:p>
      <w:pPr>
        <w:numPr>
          <w:ilvl w:val="0"/>
          <w:numId w:val="1002"/>
        </w:numPr>
        <w:pStyle w:val="Compact"/>
      </w:pPr>
      <w:r>
        <w:t xml:space="preserve">☒ Responsibilities documented in job descriptions</w:t>
      </w:r>
    </w:p>
    <w:p>
      <w:pPr>
        <w:numPr>
          <w:ilvl w:val="0"/>
          <w:numId w:val="1002"/>
        </w:numPr>
        <w:pStyle w:val="Compact"/>
      </w:pPr>
      <w:r>
        <w:t xml:space="preserve">☒ Contact information posted on internal compliance portal</w:t>
      </w:r>
    </w:p>
    <w:bookmarkEnd w:id="24"/>
    <w:bookmarkStart w:id="25" w:name="workforce-security-164.308a3"/>
    <w:p>
      <w:pPr>
        <w:pStyle w:val="Heading3"/>
      </w:pPr>
      <w:r>
        <w:t xml:space="preserve">2.3 Workforce Security — §164.308(a)(3)</w:t>
      </w:r>
    </w:p>
    <w:p>
      <w:pPr>
        <w:numPr>
          <w:ilvl w:val="0"/>
          <w:numId w:val="1003"/>
        </w:numPr>
        <w:pStyle w:val="Compact"/>
      </w:pPr>
      <w:r>
        <w:t xml:space="preserve">☒ Authorization and/or supervision procedures for workforce members accessing ePHI</w:t>
      </w:r>
    </w:p>
    <w:p>
      <w:pPr>
        <w:numPr>
          <w:ilvl w:val="0"/>
          <w:numId w:val="1003"/>
        </w:numPr>
        <w:pStyle w:val="Compact"/>
      </w:pPr>
      <w:r>
        <w:t xml:space="preserve">☒ Workforce clearance procedure (background checks for all employees with PHI access)</w:t>
      </w:r>
    </w:p>
    <w:p>
      <w:pPr>
        <w:numPr>
          <w:ilvl w:val="0"/>
          <w:numId w:val="1003"/>
        </w:numPr>
        <w:pStyle w:val="Compact"/>
      </w:pPr>
      <w:r>
        <w:t xml:space="preserve">☒ Termination procedures ensuring immediate revocation of system access</w:t>
      </w:r>
    </w:p>
    <w:p>
      <w:pPr>
        <w:numPr>
          <w:ilvl w:val="0"/>
          <w:numId w:val="1003"/>
        </w:numPr>
        <w:pStyle w:val="Compact"/>
      </w:pPr>
      <w:r>
        <w:t xml:space="preserve">☒ Access provisioning tied to HR onboarding/offboarding workflows</w:t>
      </w:r>
    </w:p>
    <w:p>
      <w:pPr>
        <w:pStyle w:val="FirstParagraph"/>
      </w:pPr>
      <w:r>
        <w:rPr>
          <w:bCs/>
          <w:b/>
        </w:rPr>
        <w:t xml:space="preserve">Clearance Level Matrix:</w:t>
      </w:r>
    </w:p>
    <w:tbl>
      <w:tblPr>
        <w:tblStyle w:val="Table"/>
        <w:tblW w:type="pct" w:w="5000"/>
        <w:tblLook w:firstRow="1" w:lastRow="0" w:firstColumn="0" w:lastColumn="0" w:noHBand="0" w:noVBand="0" w:val="0020"/>
        <w:jc w:val="start"/>
      </w:tblPr>
      <w:tblGrid>
        <w:gridCol w:w="1960"/>
        <w:gridCol w:w="1411"/>
        <w:gridCol w:w="1568"/>
        <w:gridCol w:w="1411"/>
        <w:gridCol w:w="1568"/>
      </w:tblGrid>
      <w:tr>
        <w:trPr>
          <w:tblHeader w:val="true"/>
        </w:trPr>
        <w:tc>
          <w:tcPr/>
          <w:p>
            <w:pPr>
              <w:pStyle w:val="Compact"/>
              <w:jc w:val="left"/>
            </w:pPr>
            <w:r>
              <w:t xml:space="preserve">Role</w:t>
            </w:r>
          </w:p>
        </w:tc>
        <w:tc>
          <w:tcPr/>
          <w:p>
            <w:pPr>
              <w:pStyle w:val="Compact"/>
              <w:jc w:val="left"/>
            </w:pPr>
            <w:r>
              <w:t xml:space="preserve">PHI Access Level</w:t>
            </w:r>
          </w:p>
        </w:tc>
        <w:tc>
          <w:tcPr/>
          <w:p>
            <w:pPr>
              <w:pStyle w:val="Compact"/>
              <w:jc w:val="left"/>
            </w:pPr>
            <w:r>
              <w:t xml:space="preserve">Clearance Required</w:t>
            </w:r>
          </w:p>
        </w:tc>
        <w:tc>
          <w:tcPr/>
          <w:p>
            <w:pPr>
              <w:pStyle w:val="Compact"/>
              <w:jc w:val="left"/>
            </w:pPr>
            <w:r>
              <w:t xml:space="preserve">Background Check</w:t>
            </w:r>
          </w:p>
        </w:tc>
        <w:tc>
          <w:tcPr/>
          <w:p>
            <w:pPr>
              <w:pStyle w:val="Compact"/>
              <w:jc w:val="left"/>
            </w:pPr>
            <w:r>
              <w:t xml:space="preserve">Training Frequency</w:t>
            </w:r>
          </w:p>
        </w:tc>
      </w:tr>
      <w:tr>
        <w:tc>
          <w:tcPr/>
          <w:p>
            <w:pPr>
              <w:pStyle w:val="Compact"/>
              <w:jc w:val="left"/>
            </w:pPr>
            <w:r>
              <w:t xml:space="preserve">Dentist / Hygienist</w:t>
            </w:r>
          </w:p>
        </w:tc>
        <w:tc>
          <w:tcPr/>
          <w:p>
            <w:pPr>
              <w:pStyle w:val="Compact"/>
              <w:jc w:val="left"/>
            </w:pPr>
            <w:r>
              <w:t xml:space="preserve">Full Clinical</w:t>
            </w:r>
          </w:p>
        </w:tc>
        <w:tc>
          <w:tcPr/>
          <w:p>
            <w:pPr>
              <w:pStyle w:val="Compact"/>
              <w:jc w:val="left"/>
            </w:pPr>
            <w:r>
              <w:t xml:space="preserve">Level 3</w:t>
            </w:r>
          </w:p>
        </w:tc>
        <w:tc>
          <w:tcPr/>
          <w:p>
            <w:pPr>
              <w:pStyle w:val="Compact"/>
              <w:jc w:val="left"/>
            </w:pPr>
            <w:r>
              <w:t xml:space="preserve">Yes — Annual</w:t>
            </w:r>
          </w:p>
        </w:tc>
        <w:tc>
          <w:tcPr/>
          <w:p>
            <w:pPr>
              <w:pStyle w:val="Compact"/>
              <w:jc w:val="left"/>
            </w:pPr>
            <w:r>
              <w:t xml:space="preserve">Annual + Quarterly</w:t>
            </w:r>
          </w:p>
        </w:tc>
      </w:tr>
      <w:tr>
        <w:tc>
          <w:tcPr/>
          <w:p>
            <w:pPr>
              <w:pStyle w:val="Compact"/>
              <w:jc w:val="left"/>
            </w:pPr>
            <w:r>
              <w:t xml:space="preserve">Front Desk Staff</w:t>
            </w:r>
          </w:p>
        </w:tc>
        <w:tc>
          <w:tcPr/>
          <w:p>
            <w:pPr>
              <w:pStyle w:val="Compact"/>
              <w:jc w:val="left"/>
            </w:pPr>
            <w:r>
              <w:t xml:space="preserve">Demographics</w:t>
            </w:r>
          </w:p>
        </w:tc>
        <w:tc>
          <w:tcPr/>
          <w:p>
            <w:pPr>
              <w:pStyle w:val="Compact"/>
              <w:jc w:val="left"/>
            </w:pPr>
            <w:r>
              <w:t xml:space="preserve">Level 2</w:t>
            </w:r>
          </w:p>
        </w:tc>
        <w:tc>
          <w:tcPr/>
          <w:p>
            <w:pPr>
              <w:pStyle w:val="Compact"/>
              <w:jc w:val="left"/>
            </w:pPr>
            <w:r>
              <w:t xml:space="preserve">Yes — Biennial</w:t>
            </w:r>
          </w:p>
        </w:tc>
        <w:tc>
          <w:tcPr/>
          <w:p>
            <w:pPr>
              <w:pStyle w:val="Compact"/>
              <w:jc w:val="left"/>
            </w:pPr>
            <w:r>
              <w:t xml:space="preserve">Annual</w:t>
            </w:r>
          </w:p>
        </w:tc>
      </w:tr>
      <w:tr>
        <w:tc>
          <w:tcPr/>
          <w:p>
            <w:pPr>
              <w:pStyle w:val="Compact"/>
              <w:jc w:val="left"/>
            </w:pPr>
            <w:r>
              <w:t xml:space="preserve">Billing Staff</w:t>
            </w:r>
          </w:p>
        </w:tc>
        <w:tc>
          <w:tcPr/>
          <w:p>
            <w:pPr>
              <w:pStyle w:val="Compact"/>
              <w:jc w:val="left"/>
            </w:pPr>
            <w:r>
              <w:t xml:space="preserve">Financial + PHI</w:t>
            </w:r>
          </w:p>
        </w:tc>
        <w:tc>
          <w:tcPr/>
          <w:p>
            <w:pPr>
              <w:pStyle w:val="Compact"/>
              <w:jc w:val="left"/>
            </w:pPr>
            <w:r>
              <w:t xml:space="preserve">Level 3</w:t>
            </w:r>
          </w:p>
        </w:tc>
        <w:tc>
          <w:tcPr/>
          <w:p>
            <w:pPr>
              <w:pStyle w:val="Compact"/>
              <w:jc w:val="left"/>
            </w:pPr>
            <w:r>
              <w:t xml:space="preserve">Yes — Annual</w:t>
            </w:r>
          </w:p>
        </w:tc>
        <w:tc>
          <w:tcPr/>
          <w:p>
            <w:pPr>
              <w:pStyle w:val="Compact"/>
              <w:jc w:val="left"/>
            </w:pPr>
            <w:r>
              <w:t xml:space="preserve">Annual + Quarterly</w:t>
            </w:r>
          </w:p>
        </w:tc>
      </w:tr>
      <w:tr>
        <w:tc>
          <w:tcPr/>
          <w:p>
            <w:pPr>
              <w:pStyle w:val="Compact"/>
              <w:jc w:val="left"/>
            </w:pPr>
            <w:r>
              <w:t xml:space="preserve">IT Administrator</w:t>
            </w:r>
          </w:p>
        </w:tc>
        <w:tc>
          <w:tcPr/>
          <w:p>
            <w:pPr>
              <w:pStyle w:val="Compact"/>
              <w:jc w:val="left"/>
            </w:pPr>
            <w:r>
              <w:t xml:space="preserve">Full System</w:t>
            </w:r>
          </w:p>
        </w:tc>
        <w:tc>
          <w:tcPr/>
          <w:p>
            <w:pPr>
              <w:pStyle w:val="Compact"/>
              <w:jc w:val="left"/>
            </w:pPr>
            <w:r>
              <w:t xml:space="preserve">Level 4</w:t>
            </w:r>
          </w:p>
        </w:tc>
        <w:tc>
          <w:tcPr/>
          <w:p>
            <w:pPr>
              <w:pStyle w:val="Compact"/>
              <w:jc w:val="left"/>
            </w:pPr>
            <w:r>
              <w:t xml:space="preserve">Yes — Annual</w:t>
            </w:r>
          </w:p>
        </w:tc>
        <w:tc>
          <w:tcPr/>
          <w:p>
            <w:pPr>
              <w:pStyle w:val="Compact"/>
              <w:jc w:val="left"/>
            </w:pPr>
            <w:r>
              <w:t xml:space="preserve">Quarterly</w:t>
            </w:r>
          </w:p>
        </w:tc>
      </w:tr>
      <w:tr>
        <w:tc>
          <w:tcPr/>
          <w:p>
            <w:pPr>
              <w:pStyle w:val="Compact"/>
              <w:jc w:val="left"/>
            </w:pPr>
            <w:r>
              <w:t xml:space="preserve">IT Developer</w:t>
            </w:r>
          </w:p>
        </w:tc>
        <w:tc>
          <w:tcPr/>
          <w:p>
            <w:pPr>
              <w:pStyle w:val="Compact"/>
              <w:jc w:val="left"/>
            </w:pPr>
            <w:r>
              <w:t xml:space="preserve">Dev/Test Data</w:t>
            </w:r>
          </w:p>
        </w:tc>
        <w:tc>
          <w:tcPr/>
          <w:p>
            <w:pPr>
              <w:pStyle w:val="Compact"/>
              <w:jc w:val="left"/>
            </w:pPr>
            <w:r>
              <w:t xml:space="preserve">Level 2</w:t>
            </w:r>
          </w:p>
        </w:tc>
        <w:tc>
          <w:tcPr/>
          <w:p>
            <w:pPr>
              <w:pStyle w:val="Compact"/>
              <w:jc w:val="left"/>
            </w:pPr>
            <w:r>
              <w:t xml:space="preserve">Yes — Biennial</w:t>
            </w:r>
          </w:p>
        </w:tc>
        <w:tc>
          <w:tcPr/>
          <w:p>
            <w:pPr>
              <w:pStyle w:val="Compact"/>
              <w:jc w:val="left"/>
            </w:pPr>
            <w:r>
              <w:t xml:space="preserve">Quarterly</w:t>
            </w:r>
          </w:p>
        </w:tc>
      </w:tr>
      <w:tr>
        <w:tc>
          <w:tcPr/>
          <w:p>
            <w:pPr>
              <w:pStyle w:val="Compact"/>
              <w:jc w:val="left"/>
            </w:pPr>
            <w:r>
              <w:t xml:space="preserve">Janitorial / Facilities</w:t>
            </w:r>
          </w:p>
        </w:tc>
        <w:tc>
          <w:tcPr/>
          <w:p>
            <w:pPr>
              <w:pStyle w:val="Compact"/>
              <w:jc w:val="left"/>
            </w:pPr>
            <w:r>
              <w:t xml:space="preserve">None</w:t>
            </w:r>
          </w:p>
        </w:tc>
        <w:tc>
          <w:tcPr/>
          <w:p>
            <w:pPr>
              <w:pStyle w:val="Compact"/>
              <w:jc w:val="left"/>
            </w:pPr>
            <w:r>
              <w:t xml:space="preserve">Level 0</w:t>
            </w:r>
          </w:p>
        </w:tc>
        <w:tc>
          <w:tcPr/>
          <w:p>
            <w:pPr>
              <w:pStyle w:val="Compact"/>
              <w:jc w:val="left"/>
            </w:pPr>
            <w:r>
              <w:t xml:space="preserve">Yes — Biennial</w:t>
            </w:r>
          </w:p>
        </w:tc>
        <w:tc>
          <w:tcPr/>
          <w:p>
            <w:pPr>
              <w:pStyle w:val="Compact"/>
              <w:jc w:val="left"/>
            </w:pPr>
            <w:r>
              <w:t xml:space="preserve">Annual</w:t>
            </w:r>
          </w:p>
        </w:tc>
      </w:tr>
      <w:tr>
        <w:tc>
          <w:tcPr/>
          <w:p>
            <w:pPr>
              <w:pStyle w:val="Compact"/>
              <w:jc w:val="left"/>
            </w:pPr>
            <w:r>
              <w:t xml:space="preserve">External Contractor</w:t>
            </w:r>
          </w:p>
        </w:tc>
        <w:tc>
          <w:tcPr/>
          <w:p>
            <w:pPr>
              <w:pStyle w:val="Compact"/>
              <w:jc w:val="left"/>
            </w:pPr>
            <w:r>
              <w:t xml:space="preserve">As-needed</w:t>
            </w:r>
          </w:p>
        </w:tc>
        <w:tc>
          <w:tcPr/>
          <w:p>
            <w:pPr>
              <w:pStyle w:val="Compact"/>
              <w:jc w:val="left"/>
            </w:pPr>
            <w:r>
              <w:t xml:space="preserve">Level 1-3</w:t>
            </w:r>
          </w:p>
        </w:tc>
        <w:tc>
          <w:tcPr/>
          <w:p>
            <w:pPr>
              <w:pStyle w:val="Compact"/>
              <w:jc w:val="left"/>
            </w:pPr>
            <w:r>
              <w:t xml:space="preserve">Yes — Per-project</w:t>
            </w:r>
          </w:p>
        </w:tc>
        <w:tc>
          <w:tcPr/>
          <w:p>
            <w:pPr>
              <w:pStyle w:val="Compact"/>
              <w:jc w:val="left"/>
            </w:pPr>
            <w:r>
              <w:t xml:space="preserve">Per-project</w:t>
            </w:r>
          </w:p>
        </w:tc>
      </w:tr>
    </w:tbl>
    <w:bookmarkEnd w:id="25"/>
    <w:bookmarkStart w:id="27" w:name="information-access-management-164.308a4"/>
    <w:p>
      <w:pPr>
        <w:pStyle w:val="Heading3"/>
      </w:pPr>
      <w:r>
        <w:t xml:space="preserve">2.4 Information Access Management — §164.308(a)(4)</w:t>
      </w:r>
    </w:p>
    <w:p>
      <w:pPr>
        <w:numPr>
          <w:ilvl w:val="0"/>
          <w:numId w:val="1004"/>
        </w:numPr>
        <w:pStyle w:val="Compact"/>
      </w:pPr>
      <w:r>
        <w:t xml:space="preserve">☒ Access authorization policies documented (see</w:t>
      </w:r>
      <w:r>
        <w:t xml:space="preserve"> </w:t>
      </w:r>
      <w:hyperlink r:id="rId26">
        <w:r>
          <w:rPr>
            <w:rStyle w:val="Hyperlink"/>
          </w:rPr>
          <w:t xml:space="preserve">Access_Control_Policy.md</w:t>
        </w:r>
      </w:hyperlink>
      <w:r>
        <w:t xml:space="preserve">)</w:t>
      </w:r>
    </w:p>
    <w:p>
      <w:pPr>
        <w:numPr>
          <w:ilvl w:val="0"/>
          <w:numId w:val="1004"/>
        </w:numPr>
        <w:pStyle w:val="Compact"/>
      </w:pPr>
      <w:r>
        <w:t xml:space="preserve">☒ Role-based access control (RBAC) implemented in both legacy VB6 and new Spring Boot system</w:t>
      </w:r>
    </w:p>
    <w:p>
      <w:pPr>
        <w:numPr>
          <w:ilvl w:val="0"/>
          <w:numId w:val="1004"/>
        </w:numPr>
        <w:pStyle w:val="Compact"/>
      </w:pPr>
      <w:r>
        <w:t xml:space="preserve">☒ Access to ePHI granted on minimum necessary principle</w:t>
      </w:r>
    </w:p>
    <w:p>
      <w:pPr>
        <w:numPr>
          <w:ilvl w:val="0"/>
          <w:numId w:val="1004"/>
        </w:numPr>
        <w:pStyle w:val="Compact"/>
      </w:pPr>
      <w:r>
        <w:t xml:space="preserve">☒ Health care clearinghouse isolation (if applicable)</w:t>
      </w:r>
    </w:p>
    <w:bookmarkEnd w:id="27"/>
    <w:bookmarkStart w:id="28" w:name="X1a688f4d6a5ff3dad658af12a3982172e9f20c6"/>
    <w:p>
      <w:pPr>
        <w:pStyle w:val="Heading3"/>
      </w:pPr>
      <w:r>
        <w:t xml:space="preserve">2.5 Security Awareness and Training — §164.308(a)(5)</w:t>
      </w:r>
    </w:p>
    <w:p>
      <w:pPr>
        <w:numPr>
          <w:ilvl w:val="0"/>
          <w:numId w:val="1005"/>
        </w:numPr>
        <w:pStyle w:val="Compact"/>
      </w:pPr>
      <w:r>
        <w:t xml:space="preserve">☒ Security reminders distributed quarterly via email and intranet</w:t>
      </w:r>
    </w:p>
    <w:p>
      <w:pPr>
        <w:numPr>
          <w:ilvl w:val="0"/>
          <w:numId w:val="1005"/>
        </w:numPr>
        <w:pStyle w:val="Compact"/>
      </w:pPr>
      <w:r>
        <w:t xml:space="preserve">☒ Protection from malicious software training (annual)</w:t>
      </w:r>
    </w:p>
    <w:p>
      <w:pPr>
        <w:numPr>
          <w:ilvl w:val="0"/>
          <w:numId w:val="1005"/>
        </w:numPr>
        <w:pStyle w:val="Compact"/>
      </w:pPr>
      <w:r>
        <w:t xml:space="preserve">☒ Login monitoring and password management training</w:t>
      </w:r>
    </w:p>
    <w:p>
      <w:pPr>
        <w:numPr>
          <w:ilvl w:val="0"/>
          <w:numId w:val="1005"/>
        </w:numPr>
        <w:pStyle w:val="Compact"/>
      </w:pPr>
      <w:r>
        <w:t xml:space="preserve">☒ Phishing simulation exercises conducted semi-annually (last: 2025-07-20)</w:t>
      </w:r>
    </w:p>
    <w:p>
      <w:pPr>
        <w:pStyle w:val="FirstParagraph"/>
      </w:pPr>
      <w:r>
        <w:rPr>
          <w:bCs/>
          <w:b/>
        </w:rPr>
        <w:t xml:space="preserve">Training Completion Rates (2025):</w:t>
      </w:r>
    </w:p>
    <w:tbl>
      <w:tblPr>
        <w:tblStyle w:val="Table"/>
        <w:tblW w:type="pct" w:w="5000"/>
        <w:tblLook w:firstRow="1" w:lastRow="0" w:firstColumn="0" w:lastColumn="0" w:noHBand="0" w:noVBand="0" w:val="0020"/>
        <w:jc w:val="start"/>
      </w:tblPr>
      <w:tblGrid>
        <w:gridCol w:w="1018"/>
        <w:gridCol w:w="1923"/>
        <w:gridCol w:w="2149"/>
        <w:gridCol w:w="2828"/>
      </w:tblGrid>
      <w:tr>
        <w:trPr>
          <w:tblHeader w:val="true"/>
        </w:trPr>
        <w:tc>
          <w:tcPr/>
          <w:p>
            <w:pPr>
              <w:pStyle w:val="Compact"/>
              <w:jc w:val="left"/>
            </w:pPr>
            <w:r>
              <w:t xml:space="preserve">Quarter</w:t>
            </w:r>
          </w:p>
        </w:tc>
        <w:tc>
          <w:tcPr/>
          <w:p>
            <w:pPr>
              <w:pStyle w:val="Compact"/>
              <w:jc w:val="left"/>
            </w:pPr>
            <w:r>
              <w:t xml:space="preserve">Completion Rate</w:t>
            </w:r>
          </w:p>
        </w:tc>
        <w:tc>
          <w:tcPr/>
          <w:p>
            <w:pPr>
              <w:pStyle w:val="Compact"/>
              <w:jc w:val="left"/>
            </w:pPr>
            <w:r>
              <w:t xml:space="preserve">Passed Assessment</w:t>
            </w:r>
          </w:p>
        </w:tc>
        <w:tc>
          <w:tcPr/>
          <w:p>
            <w:pPr>
              <w:pStyle w:val="Compact"/>
              <w:jc w:val="left"/>
            </w:pPr>
            <w:r>
              <w:t xml:space="preserve">Phishing Sim Click Rate</w:t>
            </w:r>
          </w:p>
        </w:tc>
      </w:tr>
      <w:tr>
        <w:tc>
          <w:tcPr/>
          <w:p>
            <w:pPr>
              <w:pStyle w:val="Compact"/>
              <w:jc w:val="left"/>
            </w:pPr>
            <w:r>
              <w:t xml:space="preserve">Q1 2025</w:t>
            </w:r>
          </w:p>
        </w:tc>
        <w:tc>
          <w:tcPr/>
          <w:p>
            <w:pPr>
              <w:pStyle w:val="Compact"/>
              <w:jc w:val="left"/>
            </w:pPr>
            <w:r>
              <w:t xml:space="preserve">97%</w:t>
            </w:r>
          </w:p>
        </w:tc>
        <w:tc>
          <w:tcPr/>
          <w:p>
            <w:pPr>
              <w:pStyle w:val="Compact"/>
              <w:jc w:val="left"/>
            </w:pPr>
            <w:r>
              <w:t xml:space="preserve">94%</w:t>
            </w:r>
          </w:p>
        </w:tc>
        <w:tc>
          <w:tcPr/>
          <w:p>
            <w:pPr>
              <w:pStyle w:val="Compact"/>
              <w:jc w:val="left"/>
            </w:pPr>
            <w:r>
              <w:t xml:space="preserve">8.2%</w:t>
            </w:r>
          </w:p>
        </w:tc>
      </w:tr>
      <w:tr>
        <w:tc>
          <w:tcPr/>
          <w:p>
            <w:pPr>
              <w:pStyle w:val="Compact"/>
              <w:jc w:val="left"/>
            </w:pPr>
            <w:r>
              <w:t xml:space="preserve">Q2 2025</w:t>
            </w:r>
          </w:p>
        </w:tc>
        <w:tc>
          <w:tcPr/>
          <w:p>
            <w:pPr>
              <w:pStyle w:val="Compact"/>
              <w:jc w:val="left"/>
            </w:pPr>
            <w:r>
              <w:t xml:space="preserve">99%</w:t>
            </w:r>
          </w:p>
        </w:tc>
        <w:tc>
          <w:tcPr/>
          <w:p>
            <w:pPr>
              <w:pStyle w:val="Compact"/>
              <w:jc w:val="left"/>
            </w:pPr>
            <w:r>
              <w:t xml:space="preserve">96%</w:t>
            </w:r>
          </w:p>
        </w:tc>
        <w:tc>
          <w:tcPr/>
          <w:p>
            <w:pPr>
              <w:pStyle w:val="Compact"/>
              <w:jc w:val="left"/>
            </w:pPr>
            <w:r>
              <w:t xml:space="preserve">5.1%</w:t>
            </w:r>
          </w:p>
        </w:tc>
      </w:tr>
      <w:tr>
        <w:tc>
          <w:tcPr/>
          <w:p>
            <w:pPr>
              <w:pStyle w:val="Compact"/>
              <w:jc w:val="left"/>
            </w:pPr>
            <w:r>
              <w:t xml:space="preserve">Q3 2025</w:t>
            </w:r>
          </w:p>
        </w:tc>
        <w:tc>
          <w:tcPr/>
          <w:p>
            <w:pPr>
              <w:pStyle w:val="Compact"/>
              <w:jc w:val="left"/>
            </w:pPr>
            <w:r>
              <w:t xml:space="preserve">98%</w:t>
            </w:r>
          </w:p>
        </w:tc>
        <w:tc>
          <w:tcPr/>
          <w:p>
            <w:pPr>
              <w:pStyle w:val="Compact"/>
              <w:jc w:val="left"/>
            </w:pPr>
            <w:r>
              <w:t xml:space="preserve">95%</w:t>
            </w:r>
          </w:p>
        </w:tc>
        <w:tc>
          <w:tcPr/>
          <w:p>
            <w:pPr>
              <w:pStyle w:val="Compact"/>
              <w:jc w:val="left"/>
            </w:pPr>
            <w:r>
              <w:t xml:space="preserve">4.3%</w:t>
            </w:r>
          </w:p>
        </w:tc>
      </w:tr>
      <w:tr>
        <w:tc>
          <w:tcPr/>
          <w:p>
            <w:pPr>
              <w:pStyle w:val="Compact"/>
              <w:jc w:val="left"/>
            </w:pPr>
            <w:r>
              <w:t xml:space="preserve">Q4 2025</w:t>
            </w:r>
          </w:p>
        </w:tc>
        <w:tc>
          <w:tcPr/>
          <w:p>
            <w:pPr>
              <w:pStyle w:val="Compact"/>
              <w:jc w:val="left"/>
            </w:pPr>
            <w:r>
              <w:t xml:space="preserve">Scheduled</w:t>
            </w:r>
          </w:p>
        </w:tc>
        <w:tc>
          <w:tcPr/>
          <w:p>
            <w:pPr>
              <w:pStyle w:val="Compact"/>
              <w:jc w:val="left"/>
            </w:pPr>
            <w:r>
              <w:t xml:space="preserve">—</w:t>
            </w:r>
          </w:p>
        </w:tc>
        <w:tc>
          <w:tcPr/>
          <w:p>
            <w:pPr>
              <w:pStyle w:val="Compact"/>
              <w:jc w:val="left"/>
            </w:pPr>
            <w:r>
              <w:t xml:space="preserve">Scheduled</w:t>
            </w:r>
          </w:p>
        </w:tc>
      </w:tr>
    </w:tbl>
    <w:bookmarkEnd w:id="28"/>
    <w:bookmarkStart w:id="30" w:name="security-incident-procedures-164.308a6"/>
    <w:p>
      <w:pPr>
        <w:pStyle w:val="Heading3"/>
      </w:pPr>
      <w:r>
        <w:t xml:space="preserve">2.6 Security Incident Procedures — §164.308(a)(6)</w:t>
      </w:r>
    </w:p>
    <w:p>
      <w:pPr>
        <w:numPr>
          <w:ilvl w:val="0"/>
          <w:numId w:val="1006"/>
        </w:numPr>
        <w:pStyle w:val="Compact"/>
      </w:pPr>
      <w:r>
        <w:t xml:space="preserve">☒ Incident response plan documented and tested</w:t>
      </w:r>
    </w:p>
    <w:p>
      <w:pPr>
        <w:numPr>
          <w:ilvl w:val="0"/>
          <w:numId w:val="1006"/>
        </w:numPr>
        <w:pStyle w:val="Compact"/>
      </w:pPr>
      <w:r>
        <w:t xml:space="preserve">☒ Incident response team identified (Security Officer, Privacy Officer, Legal Counsel, IT Lead)</w:t>
      </w:r>
    </w:p>
    <w:p>
      <w:pPr>
        <w:numPr>
          <w:ilvl w:val="0"/>
          <w:numId w:val="1006"/>
        </w:numPr>
        <w:pStyle w:val="Compact"/>
      </w:pPr>
      <w:r>
        <w:t xml:space="preserve">☒ Incident reporting mechanism in place (JIRA Security Queue + dedicated hotline)</w:t>
      </w:r>
    </w:p>
    <w:p>
      <w:pPr>
        <w:numPr>
          <w:ilvl w:val="0"/>
          <w:numId w:val="1006"/>
        </w:numPr>
        <w:pStyle w:val="Compact"/>
      </w:pPr>
      <w:r>
        <w:t xml:space="preserve">☒ Post-incident review process with lessons learned documentation</w:t>
      </w:r>
    </w:p>
    <w:p>
      <w:pPr>
        <w:numPr>
          <w:ilvl w:val="0"/>
          <w:numId w:val="1006"/>
        </w:numPr>
        <w:pStyle w:val="Compact"/>
      </w:pPr>
      <w:r>
        <w:t xml:space="preserve">☒ Breach notification procedures documented (see</w:t>
      </w:r>
      <w:r>
        <w:t xml:space="preserve"> </w:t>
      </w:r>
      <w:hyperlink r:id="rId29">
        <w:r>
          <w:rPr>
            <w:rStyle w:val="Hyperlink"/>
          </w:rPr>
          <w:t xml:space="preserve">Breach_Notification_Procedures.md</w:t>
        </w:r>
      </w:hyperlink>
      <w:r>
        <w:t xml:space="preserve">)</w:t>
      </w:r>
    </w:p>
    <w:bookmarkEnd w:id="30"/>
    <w:bookmarkStart w:id="31" w:name="contingency-plan-164.308a7"/>
    <w:p>
      <w:pPr>
        <w:pStyle w:val="Heading3"/>
      </w:pPr>
      <w:r>
        <w:t xml:space="preserve">2.7 Contingency Plan — §164.308(a)(7)</w:t>
      </w:r>
    </w:p>
    <w:p>
      <w:pPr>
        <w:numPr>
          <w:ilvl w:val="0"/>
          <w:numId w:val="1007"/>
        </w:numPr>
        <w:pStyle w:val="Compact"/>
      </w:pPr>
      <w:r>
        <w:t xml:space="preserve">☒ Data backup plan — daily incremental, weekly full, encrypted off-site</w:t>
      </w:r>
    </w:p>
    <w:p>
      <w:pPr>
        <w:numPr>
          <w:ilvl w:val="0"/>
          <w:numId w:val="1007"/>
        </w:numPr>
        <w:pStyle w:val="Compact"/>
      </w:pPr>
      <w:r>
        <w:t xml:space="preserve">☒ Disaster recovery plan tested semi-annually (last test: 2025-06-01, RTO: 4 hours)</w:t>
      </w:r>
    </w:p>
    <w:p>
      <w:pPr>
        <w:numPr>
          <w:ilvl w:val="0"/>
          <w:numId w:val="1007"/>
        </w:numPr>
        <w:pStyle w:val="Compact"/>
      </w:pPr>
      <w:r>
        <w:t xml:space="preserve">☒ Emergency mode operation plan for critical clinical functions</w:t>
      </w:r>
    </w:p>
    <w:p>
      <w:pPr>
        <w:numPr>
          <w:ilvl w:val="0"/>
          <w:numId w:val="1007"/>
        </w:numPr>
        <w:pStyle w:val="Compact"/>
      </w:pPr>
      <w:r>
        <w:t xml:space="preserve">☒ Testing and revision procedures for contingency plans</w:t>
      </w:r>
    </w:p>
    <w:p>
      <w:pPr>
        <w:numPr>
          <w:ilvl w:val="0"/>
          <w:numId w:val="1007"/>
        </w:numPr>
        <w:pStyle w:val="Compact"/>
      </w:pPr>
      <w:r>
        <w:t xml:space="preserve">☒ Application and data criticality analysis completed</w:t>
      </w:r>
    </w:p>
    <w:p>
      <w:pPr>
        <w:pStyle w:val="FirstParagraph"/>
      </w:pPr>
      <w:r>
        <w:rPr>
          <w:bCs/>
          <w:b/>
        </w:rPr>
        <w:t xml:space="preserve">Backup Schedule:</w:t>
      </w:r>
    </w:p>
    <w:tbl>
      <w:tblPr>
        <w:tblStyle w:val="Table"/>
        <w:tblW w:type="pct" w:w="5000"/>
        <w:tblLook w:firstRow="1" w:lastRow="0" w:firstColumn="0" w:lastColumn="0" w:noHBand="0" w:noVBand="0" w:val="0020"/>
        <w:jc w:val="start"/>
      </w:tblPr>
      <w:tblGrid>
        <w:gridCol w:w="1931"/>
        <w:gridCol w:w="1448"/>
        <w:gridCol w:w="1062"/>
        <w:gridCol w:w="1159"/>
        <w:gridCol w:w="2318"/>
      </w:tblGrid>
      <w:tr>
        <w:trPr>
          <w:tblHeader w:val="true"/>
        </w:trPr>
        <w:tc>
          <w:tcPr/>
          <w:p>
            <w:pPr>
              <w:pStyle w:val="Compact"/>
              <w:jc w:val="left"/>
            </w:pPr>
            <w:r>
              <w:t xml:space="preserve">Backup Type</w:t>
            </w:r>
          </w:p>
        </w:tc>
        <w:tc>
          <w:tcPr/>
          <w:p>
            <w:pPr>
              <w:pStyle w:val="Compact"/>
              <w:jc w:val="left"/>
            </w:pPr>
            <w:r>
              <w:t xml:space="preserve">Frequency</w:t>
            </w:r>
          </w:p>
        </w:tc>
        <w:tc>
          <w:tcPr/>
          <w:p>
            <w:pPr>
              <w:pStyle w:val="Compact"/>
              <w:jc w:val="left"/>
            </w:pPr>
            <w:r>
              <w:t xml:space="preserve">Retention</w:t>
            </w:r>
          </w:p>
        </w:tc>
        <w:tc>
          <w:tcPr/>
          <w:p>
            <w:pPr>
              <w:pStyle w:val="Compact"/>
              <w:jc w:val="left"/>
            </w:pPr>
            <w:r>
              <w:t xml:space="preserve">Encryption</w:t>
            </w:r>
          </w:p>
        </w:tc>
        <w:tc>
          <w:tcPr/>
          <w:p>
            <w:pPr>
              <w:pStyle w:val="Compact"/>
              <w:jc w:val="left"/>
            </w:pPr>
            <w:r>
              <w:t xml:space="preserve">Storage Location</w:t>
            </w:r>
          </w:p>
        </w:tc>
      </w:tr>
      <w:tr>
        <w:tc>
          <w:tcPr/>
          <w:p>
            <w:pPr>
              <w:pStyle w:val="Compact"/>
              <w:jc w:val="left"/>
            </w:pPr>
            <w:r>
              <w:t xml:space="preserve">Full Database</w:t>
            </w:r>
          </w:p>
        </w:tc>
        <w:tc>
          <w:tcPr/>
          <w:p>
            <w:pPr>
              <w:pStyle w:val="Compact"/>
              <w:jc w:val="left"/>
            </w:pPr>
            <w:r>
              <w:t xml:space="preserve">Weekly (Sun)</w:t>
            </w:r>
          </w:p>
        </w:tc>
        <w:tc>
          <w:tcPr/>
          <w:p>
            <w:pPr>
              <w:pStyle w:val="Compact"/>
              <w:jc w:val="left"/>
            </w:pPr>
            <w:r>
              <w:t xml:space="preserve">90 days</w:t>
            </w:r>
          </w:p>
        </w:tc>
        <w:tc>
          <w:tcPr/>
          <w:p>
            <w:pPr>
              <w:pStyle w:val="Compact"/>
              <w:jc w:val="left"/>
            </w:pPr>
            <w:r>
              <w:t xml:space="preserve">AES-256</w:t>
            </w:r>
          </w:p>
        </w:tc>
        <w:tc>
          <w:tcPr/>
          <w:p>
            <w:pPr>
              <w:pStyle w:val="Compact"/>
              <w:jc w:val="left"/>
            </w:pPr>
            <w:r>
              <w:t xml:space="preserve">AWS S3 (us-east-1)</w:t>
            </w:r>
          </w:p>
        </w:tc>
      </w:tr>
      <w:tr>
        <w:tc>
          <w:tcPr/>
          <w:p>
            <w:pPr>
              <w:pStyle w:val="Compact"/>
              <w:jc w:val="left"/>
            </w:pPr>
            <w:r>
              <w:t xml:space="preserve">Incremental DB</w:t>
            </w:r>
          </w:p>
        </w:tc>
        <w:tc>
          <w:tcPr/>
          <w:p>
            <w:pPr>
              <w:pStyle w:val="Compact"/>
              <w:jc w:val="left"/>
            </w:pPr>
            <w:r>
              <w:t xml:space="preserve">Daily (2 AM)</w:t>
            </w:r>
          </w:p>
        </w:tc>
        <w:tc>
          <w:tcPr/>
          <w:p>
            <w:pPr>
              <w:pStyle w:val="Compact"/>
              <w:jc w:val="left"/>
            </w:pPr>
            <w:r>
              <w:t xml:space="preserve">30 days</w:t>
            </w:r>
          </w:p>
        </w:tc>
        <w:tc>
          <w:tcPr/>
          <w:p>
            <w:pPr>
              <w:pStyle w:val="Compact"/>
              <w:jc w:val="left"/>
            </w:pPr>
            <w:r>
              <w:t xml:space="preserve">AES-256</w:t>
            </w:r>
          </w:p>
        </w:tc>
        <w:tc>
          <w:tcPr/>
          <w:p>
            <w:pPr>
              <w:pStyle w:val="Compact"/>
              <w:jc w:val="left"/>
            </w:pPr>
            <w:r>
              <w:t xml:space="preserve">AWS S3 (us-east-1)</w:t>
            </w:r>
          </w:p>
        </w:tc>
      </w:tr>
      <w:tr>
        <w:tc>
          <w:tcPr/>
          <w:p>
            <w:pPr>
              <w:pStyle w:val="Compact"/>
              <w:jc w:val="left"/>
            </w:pPr>
            <w:r>
              <w:t xml:space="preserve">Transaction Logs</w:t>
            </w:r>
          </w:p>
        </w:tc>
        <w:tc>
          <w:tcPr/>
          <w:p>
            <w:pPr>
              <w:pStyle w:val="Compact"/>
              <w:jc w:val="left"/>
            </w:pPr>
            <w:r>
              <w:t xml:space="preserve">Every 15 min</w:t>
            </w:r>
          </w:p>
        </w:tc>
        <w:tc>
          <w:tcPr/>
          <w:p>
            <w:pPr>
              <w:pStyle w:val="Compact"/>
              <w:jc w:val="left"/>
            </w:pPr>
            <w:r>
              <w:t xml:space="preserve">7 days</w:t>
            </w:r>
          </w:p>
        </w:tc>
        <w:tc>
          <w:tcPr/>
          <w:p>
            <w:pPr>
              <w:pStyle w:val="Compact"/>
              <w:jc w:val="left"/>
            </w:pPr>
            <w:r>
              <w:t xml:space="preserve">AES-256</w:t>
            </w:r>
          </w:p>
        </w:tc>
        <w:tc>
          <w:tcPr/>
          <w:p>
            <w:pPr>
              <w:pStyle w:val="Compact"/>
              <w:jc w:val="left"/>
            </w:pPr>
            <w:r>
              <w:t xml:space="preserve">Local + S3</w:t>
            </w:r>
          </w:p>
        </w:tc>
      </w:tr>
      <w:tr>
        <w:tc>
          <w:tcPr/>
          <w:p>
            <w:pPr>
              <w:pStyle w:val="Compact"/>
              <w:jc w:val="left"/>
            </w:pPr>
            <w:r>
              <w:t xml:space="preserve">Application Config</w:t>
            </w:r>
          </w:p>
        </w:tc>
        <w:tc>
          <w:tcPr/>
          <w:p>
            <w:pPr>
              <w:pStyle w:val="Compact"/>
              <w:jc w:val="left"/>
            </w:pPr>
            <w:r>
              <w:t xml:space="preserve">On change</w:t>
            </w:r>
          </w:p>
        </w:tc>
        <w:tc>
          <w:tcPr/>
          <w:p>
            <w:pPr>
              <w:pStyle w:val="Compact"/>
              <w:jc w:val="left"/>
            </w:pPr>
            <w:r>
              <w:t xml:space="preserve">365 days</w:t>
            </w:r>
          </w:p>
        </w:tc>
        <w:tc>
          <w:tcPr/>
          <w:p>
            <w:pPr>
              <w:pStyle w:val="Compact"/>
              <w:jc w:val="left"/>
            </w:pPr>
            <w:r>
              <w:t xml:space="preserve">AES-256</w:t>
            </w:r>
          </w:p>
        </w:tc>
        <w:tc>
          <w:tcPr/>
          <w:p>
            <w:pPr>
              <w:pStyle w:val="Compact"/>
              <w:jc w:val="left"/>
            </w:pPr>
            <w:r>
              <w:t xml:space="preserve">AWS S3 + Git (encrypted)</w:t>
            </w:r>
          </w:p>
        </w:tc>
      </w:tr>
      <w:tr>
        <w:tc>
          <w:tcPr/>
          <w:p>
            <w:pPr>
              <w:pStyle w:val="Compact"/>
              <w:jc w:val="left"/>
            </w:pPr>
            <w:r>
              <w:t xml:space="preserve">Document Imaging</w:t>
            </w:r>
          </w:p>
        </w:tc>
        <w:tc>
          <w:tcPr/>
          <w:p>
            <w:pPr>
              <w:pStyle w:val="Compact"/>
              <w:jc w:val="left"/>
            </w:pPr>
            <w:r>
              <w:t xml:space="preserve">Daily (3 AM)</w:t>
            </w:r>
          </w:p>
        </w:tc>
        <w:tc>
          <w:tcPr/>
          <w:p>
            <w:pPr>
              <w:pStyle w:val="Compact"/>
              <w:jc w:val="left"/>
            </w:pPr>
            <w:r>
              <w:t xml:space="preserve">7 years</w:t>
            </w:r>
          </w:p>
        </w:tc>
        <w:tc>
          <w:tcPr/>
          <w:p>
            <w:pPr>
              <w:pStyle w:val="Compact"/>
              <w:jc w:val="left"/>
            </w:pPr>
            <w:r>
              <w:t xml:space="preserve">AES-256</w:t>
            </w:r>
          </w:p>
        </w:tc>
        <w:tc>
          <w:tcPr/>
          <w:p>
            <w:pPr>
              <w:pStyle w:val="Compact"/>
              <w:jc w:val="left"/>
            </w:pPr>
            <w:r>
              <w:t xml:space="preserve">AWS S3 Glacier</w:t>
            </w:r>
          </w:p>
        </w:tc>
      </w:tr>
    </w:tbl>
    <w:bookmarkEnd w:id="31"/>
    <w:bookmarkStart w:id="32" w:name="evaluation-164.308a8"/>
    <w:p>
      <w:pPr>
        <w:pStyle w:val="Heading3"/>
      </w:pPr>
      <w:r>
        <w:t xml:space="preserve">2.8 Evaluation — §164.308(a)(8)</w:t>
      </w:r>
    </w:p>
    <w:p>
      <w:pPr>
        <w:numPr>
          <w:ilvl w:val="0"/>
          <w:numId w:val="1008"/>
        </w:numPr>
        <w:pStyle w:val="Compact"/>
      </w:pPr>
      <w:r>
        <w:t xml:space="preserve">☒ Periodic technical and nontechnical evaluations performed</w:t>
      </w:r>
    </w:p>
    <w:p>
      <w:pPr>
        <w:numPr>
          <w:ilvl w:val="0"/>
          <w:numId w:val="1008"/>
        </w:numPr>
        <w:pStyle w:val="Compact"/>
      </w:pPr>
      <w:r>
        <w:t xml:space="preserve">☒ Last external audit: 2025-05-15 (conducted by Deloitte Healthcare IT)</w:t>
      </w:r>
    </w:p>
    <w:p>
      <w:pPr>
        <w:numPr>
          <w:ilvl w:val="0"/>
          <w:numId w:val="1008"/>
        </w:numPr>
        <w:pStyle w:val="Compact"/>
      </w:pPr>
      <w:r>
        <w:t xml:space="preserve">☒ Remediation items from last audit tracked in compliance JIRA project</w:t>
      </w:r>
    </w:p>
    <w:p>
      <w:pPr>
        <w:numPr>
          <w:ilvl w:val="0"/>
          <w:numId w:val="1008"/>
        </w:numPr>
        <w:pStyle w:val="Compact"/>
      </w:pPr>
      <w:r>
        <w:t xml:space="preserve">☒ Next scheduled evaluation: 2026-05-15</w:t>
      </w:r>
    </w:p>
    <w:bookmarkEnd w:id="32"/>
    <w:bookmarkStart w:id="33" w:name="business-associate-agreements-164.308b1"/>
    <w:p>
      <w:pPr>
        <w:pStyle w:val="Heading3"/>
      </w:pPr>
      <w:r>
        <w:t xml:space="preserve">2.9 Business Associate Agreements — §164.308(b)(1)</w:t>
      </w:r>
    </w:p>
    <w:p>
      <w:pPr>
        <w:numPr>
          <w:ilvl w:val="0"/>
          <w:numId w:val="1009"/>
        </w:numPr>
        <w:pStyle w:val="Compact"/>
      </w:pPr>
      <w:r>
        <w:t xml:space="preserve">☒ BAA inventory maintained and reviewed annually</w:t>
      </w:r>
    </w:p>
    <w:p>
      <w:pPr>
        <w:numPr>
          <w:ilvl w:val="0"/>
          <w:numId w:val="1009"/>
        </w:numPr>
        <w:pStyle w:val="Compact"/>
      </w:pPr>
      <w:r>
        <w:t xml:space="preserve">☒ All business associates have signed current BAAs</w:t>
      </w:r>
    </w:p>
    <w:p>
      <w:pPr>
        <w:pStyle w:val="FirstParagraph"/>
      </w:pPr>
      <w:r>
        <w:rPr>
          <w:bCs/>
          <w:b/>
        </w:rPr>
        <w:t xml:space="preserve">Active Business Associate Agreements:</w:t>
      </w:r>
    </w:p>
    <w:tbl>
      <w:tblPr>
        <w:tblStyle w:val="Table"/>
        <w:tblW w:type="pct" w:w="5000"/>
        <w:tblLook w:firstRow="1" w:lastRow="0" w:firstColumn="0" w:lastColumn="0" w:noHBand="0" w:noVBand="0" w:val="0020"/>
        <w:jc w:val="start"/>
      </w:tblPr>
      <w:tblGrid>
        <w:gridCol w:w="2560"/>
        <w:gridCol w:w="2240"/>
        <w:gridCol w:w="1040"/>
        <w:gridCol w:w="1040"/>
        <w:gridCol w:w="1040"/>
      </w:tblGrid>
      <w:tr>
        <w:trPr>
          <w:tblHeader w:val="true"/>
        </w:trPr>
        <w:tc>
          <w:tcPr/>
          <w:p>
            <w:pPr>
              <w:pStyle w:val="Compact"/>
              <w:jc w:val="left"/>
            </w:pPr>
            <w:r>
              <w:t xml:space="preserve">Business Associate</w:t>
            </w:r>
          </w:p>
        </w:tc>
        <w:tc>
          <w:tcPr/>
          <w:p>
            <w:pPr>
              <w:pStyle w:val="Compact"/>
              <w:jc w:val="left"/>
            </w:pPr>
            <w:r>
              <w:t xml:space="preserve">Service</w:t>
            </w:r>
          </w:p>
        </w:tc>
        <w:tc>
          <w:tcPr/>
          <w:p>
            <w:pPr>
              <w:pStyle w:val="Compact"/>
              <w:jc w:val="left"/>
            </w:pPr>
            <w:r>
              <w:t xml:space="preserve">BAA Signed</w:t>
            </w:r>
          </w:p>
        </w:tc>
        <w:tc>
          <w:tcPr/>
          <w:p>
            <w:pPr>
              <w:pStyle w:val="Compact"/>
              <w:jc w:val="left"/>
            </w:pPr>
            <w:r>
              <w:t xml:space="preserve">BAA Expiry</w:t>
            </w:r>
          </w:p>
        </w:tc>
        <w:tc>
          <w:tcPr/>
          <w:p>
            <w:pPr>
              <w:pStyle w:val="Compact"/>
              <w:jc w:val="left"/>
            </w:pPr>
            <w:r>
              <w:t xml:space="preserve">Last Review</w:t>
            </w:r>
          </w:p>
        </w:tc>
      </w:tr>
      <w:tr>
        <w:tc>
          <w:tcPr/>
          <w:p>
            <w:pPr>
              <w:pStyle w:val="Compact"/>
              <w:jc w:val="left"/>
            </w:pPr>
            <w:r>
              <w:t xml:space="preserve">Amazon Web Services (AWS)</w:t>
            </w:r>
          </w:p>
        </w:tc>
        <w:tc>
          <w:tcPr/>
          <w:p>
            <w:pPr>
              <w:pStyle w:val="Compact"/>
              <w:jc w:val="left"/>
            </w:pPr>
            <w:r>
              <w:t xml:space="preserve">Cloud Infrastructure</w:t>
            </w:r>
          </w:p>
        </w:tc>
        <w:tc>
          <w:tcPr/>
          <w:p>
            <w:pPr>
              <w:pStyle w:val="Compact"/>
              <w:jc w:val="left"/>
            </w:pPr>
            <w:r>
              <w:t xml:space="preserve">2024-01-15</w:t>
            </w:r>
          </w:p>
        </w:tc>
        <w:tc>
          <w:tcPr/>
          <w:p>
            <w:pPr>
              <w:pStyle w:val="Compact"/>
              <w:jc w:val="left"/>
            </w:pPr>
            <w:r>
              <w:t xml:space="preserve">2027-01-14</w:t>
            </w:r>
          </w:p>
        </w:tc>
        <w:tc>
          <w:tcPr/>
          <w:p>
            <w:pPr>
              <w:pStyle w:val="Compact"/>
              <w:jc w:val="left"/>
            </w:pPr>
            <w:r>
              <w:t xml:space="preserve">2025-01-15</w:t>
            </w:r>
          </w:p>
        </w:tc>
      </w:tr>
      <w:tr>
        <w:tc>
          <w:tcPr/>
          <w:p>
            <w:pPr>
              <w:pStyle w:val="Compact"/>
              <w:jc w:val="left"/>
            </w:pPr>
            <w:r>
              <w:t xml:space="preserve">Delta Dental Insurance</w:t>
            </w:r>
          </w:p>
        </w:tc>
        <w:tc>
          <w:tcPr/>
          <w:p>
            <w:pPr>
              <w:pStyle w:val="Compact"/>
              <w:jc w:val="left"/>
            </w:pPr>
            <w:r>
              <w:t xml:space="preserve">Claims Processing</w:t>
            </w:r>
          </w:p>
        </w:tc>
        <w:tc>
          <w:tcPr/>
          <w:p>
            <w:pPr>
              <w:pStyle w:val="Compact"/>
              <w:jc w:val="left"/>
            </w:pPr>
            <w:r>
              <w:t xml:space="preserve">2023-06-01</w:t>
            </w:r>
          </w:p>
        </w:tc>
        <w:tc>
          <w:tcPr/>
          <w:p>
            <w:pPr>
              <w:pStyle w:val="Compact"/>
              <w:jc w:val="left"/>
            </w:pPr>
            <w:r>
              <w:t xml:space="preserve">2026-05-31</w:t>
            </w:r>
          </w:p>
        </w:tc>
        <w:tc>
          <w:tcPr/>
          <w:p>
            <w:pPr>
              <w:pStyle w:val="Compact"/>
              <w:jc w:val="left"/>
            </w:pPr>
            <w:r>
              <w:t xml:space="preserve">2025-06-01</w:t>
            </w:r>
          </w:p>
        </w:tc>
      </w:tr>
      <w:tr>
        <w:tc>
          <w:tcPr/>
          <w:p>
            <w:pPr>
              <w:pStyle w:val="Compact"/>
              <w:jc w:val="left"/>
            </w:pPr>
            <w:r>
              <w:t xml:space="preserve">Dentrix Integration Services</w:t>
            </w:r>
          </w:p>
        </w:tc>
        <w:tc>
          <w:tcPr/>
          <w:p>
            <w:pPr>
              <w:pStyle w:val="Compact"/>
              <w:jc w:val="left"/>
            </w:pPr>
            <w:r>
              <w:t xml:space="preserve">Practice Management Sync</w:t>
            </w:r>
          </w:p>
        </w:tc>
        <w:tc>
          <w:tcPr/>
          <w:p>
            <w:pPr>
              <w:pStyle w:val="Compact"/>
              <w:jc w:val="left"/>
            </w:pPr>
            <w:r>
              <w:t xml:space="preserve">2024-03-10</w:t>
            </w:r>
          </w:p>
        </w:tc>
        <w:tc>
          <w:tcPr/>
          <w:p>
            <w:pPr>
              <w:pStyle w:val="Compact"/>
              <w:jc w:val="left"/>
            </w:pPr>
            <w:r>
              <w:t xml:space="preserve">2027-03-09</w:t>
            </w:r>
          </w:p>
        </w:tc>
        <w:tc>
          <w:tcPr/>
          <w:p>
            <w:pPr>
              <w:pStyle w:val="Compact"/>
              <w:jc w:val="left"/>
            </w:pPr>
            <w:r>
              <w:t xml:space="preserve">2025-03-10</w:t>
            </w:r>
          </w:p>
        </w:tc>
      </w:tr>
      <w:tr>
        <w:tc>
          <w:tcPr/>
          <w:p>
            <w:pPr>
              <w:pStyle w:val="Compact"/>
              <w:jc w:val="left"/>
            </w:pPr>
            <w:r>
              <w:t xml:space="preserve">Patterson Dental Supply</w:t>
            </w:r>
          </w:p>
        </w:tc>
        <w:tc>
          <w:tcPr/>
          <w:p>
            <w:pPr>
              <w:pStyle w:val="Compact"/>
              <w:jc w:val="left"/>
            </w:pPr>
            <w:r>
              <w:t xml:space="preserve">Imaging System Interface</w:t>
            </w:r>
          </w:p>
        </w:tc>
        <w:tc>
          <w:tcPr/>
          <w:p>
            <w:pPr>
              <w:pStyle w:val="Compact"/>
              <w:jc w:val="left"/>
            </w:pPr>
            <w:r>
              <w:t xml:space="preserve">2023-09-01</w:t>
            </w:r>
          </w:p>
        </w:tc>
        <w:tc>
          <w:tcPr/>
          <w:p>
            <w:pPr>
              <w:pStyle w:val="Compact"/>
              <w:jc w:val="left"/>
            </w:pPr>
            <w:r>
              <w:t xml:space="preserve">2026-08-31</w:t>
            </w:r>
          </w:p>
        </w:tc>
        <w:tc>
          <w:tcPr/>
          <w:p>
            <w:pPr>
              <w:pStyle w:val="Compact"/>
              <w:jc w:val="left"/>
            </w:pPr>
            <w:r>
              <w:t xml:space="preserve">2025-09-01</w:t>
            </w:r>
          </w:p>
        </w:tc>
      </w:tr>
      <w:tr>
        <w:tc>
          <w:tcPr/>
          <w:p>
            <w:pPr>
              <w:pStyle w:val="Compact"/>
              <w:jc w:val="left"/>
            </w:pPr>
            <w:r>
              <w:t xml:space="preserve">Surescripts LLC</w:t>
            </w:r>
          </w:p>
        </w:tc>
        <w:tc>
          <w:tcPr/>
          <w:p>
            <w:pPr>
              <w:pStyle w:val="Compact"/>
              <w:jc w:val="left"/>
            </w:pPr>
            <w:r>
              <w:t xml:space="preserve">E-Prescribing Network</w:t>
            </w:r>
          </w:p>
        </w:tc>
        <w:tc>
          <w:tcPr/>
          <w:p>
            <w:pPr>
              <w:pStyle w:val="Compact"/>
              <w:jc w:val="left"/>
            </w:pPr>
            <w:r>
              <w:t xml:space="preserve">2024-07-20</w:t>
            </w:r>
          </w:p>
        </w:tc>
        <w:tc>
          <w:tcPr/>
          <w:p>
            <w:pPr>
              <w:pStyle w:val="Compact"/>
              <w:jc w:val="left"/>
            </w:pPr>
            <w:r>
              <w:t xml:space="preserve">2027-07-19</w:t>
            </w:r>
          </w:p>
        </w:tc>
        <w:tc>
          <w:tcPr/>
          <w:p>
            <w:pPr>
              <w:pStyle w:val="Compact"/>
              <w:jc w:val="left"/>
            </w:pPr>
            <w:r>
              <w:t xml:space="preserve">2025-07-20</w:t>
            </w:r>
          </w:p>
        </w:tc>
      </w:tr>
      <w:tr>
        <w:tc>
          <w:tcPr/>
          <w:p>
            <w:pPr>
              <w:pStyle w:val="Compact"/>
              <w:jc w:val="left"/>
            </w:pPr>
            <w:r>
              <w:t xml:space="preserve">Iron Mountain</w:t>
            </w:r>
          </w:p>
        </w:tc>
        <w:tc>
          <w:tcPr/>
          <w:p>
            <w:pPr>
              <w:pStyle w:val="Compact"/>
              <w:jc w:val="left"/>
            </w:pPr>
            <w:r>
              <w:t xml:space="preserve">Offsite Record Storage</w:t>
            </w:r>
          </w:p>
        </w:tc>
        <w:tc>
          <w:tcPr/>
          <w:p>
            <w:pPr>
              <w:pStyle w:val="Compact"/>
              <w:jc w:val="left"/>
            </w:pPr>
            <w:r>
              <w:t xml:space="preserve">2022-11-01</w:t>
            </w:r>
          </w:p>
        </w:tc>
        <w:tc>
          <w:tcPr/>
          <w:p>
            <w:pPr>
              <w:pStyle w:val="Compact"/>
              <w:jc w:val="left"/>
            </w:pPr>
            <w:r>
              <w:t xml:space="preserve">2025-10-31</w:t>
            </w:r>
          </w:p>
        </w:tc>
        <w:tc>
          <w:tcPr/>
          <w:p>
            <w:pPr>
              <w:pStyle w:val="Compact"/>
              <w:jc w:val="left"/>
            </w:pPr>
            <w:r>
              <w:t xml:space="preserve">2025-08-15</w:t>
            </w:r>
          </w:p>
        </w:tc>
      </w:tr>
      <w:tr>
        <w:tc>
          <w:tcPr/>
          <w:p>
            <w:pPr>
              <w:pStyle w:val="Compact"/>
              <w:jc w:val="left"/>
            </w:pPr>
            <w:r>
              <w:t xml:space="preserve">Stripe Inc.</w:t>
            </w:r>
          </w:p>
        </w:tc>
        <w:tc>
          <w:tcPr/>
          <w:p>
            <w:pPr>
              <w:pStyle w:val="Compact"/>
              <w:jc w:val="left"/>
            </w:pPr>
            <w:r>
              <w:t xml:space="preserve">Payment Processing</w:t>
            </w:r>
          </w:p>
        </w:tc>
        <w:tc>
          <w:tcPr/>
          <w:p>
            <w:pPr>
              <w:pStyle w:val="Compact"/>
              <w:jc w:val="left"/>
            </w:pPr>
            <w:r>
              <w:t xml:space="preserve">2024-05-01</w:t>
            </w:r>
          </w:p>
        </w:tc>
        <w:tc>
          <w:tcPr/>
          <w:p>
            <w:pPr>
              <w:pStyle w:val="Compact"/>
              <w:jc w:val="left"/>
            </w:pPr>
            <w:r>
              <w:t xml:space="preserve">2027-04-30</w:t>
            </w:r>
          </w:p>
        </w:tc>
        <w:tc>
          <w:tcPr/>
          <w:p>
            <w:pPr>
              <w:pStyle w:val="Compact"/>
              <w:jc w:val="left"/>
            </w:pPr>
            <w:r>
              <w:t xml:space="preserve">2025-05-01</w:t>
            </w:r>
          </w:p>
        </w:tc>
      </w:tr>
      <w:tr>
        <w:tc>
          <w:tcPr/>
          <w:p>
            <w:pPr>
              <w:pStyle w:val="Compact"/>
              <w:jc w:val="left"/>
            </w:pPr>
            <w:r>
              <w:t xml:space="preserve">ClearConnect Telehealth</w:t>
            </w:r>
          </w:p>
        </w:tc>
        <w:tc>
          <w:tcPr/>
          <w:p>
            <w:pPr>
              <w:pStyle w:val="Compact"/>
              <w:jc w:val="left"/>
            </w:pPr>
            <w:r>
              <w:t xml:space="preserve">Virtual Consult Platform</w:t>
            </w:r>
          </w:p>
        </w:tc>
        <w:tc>
          <w:tcPr/>
          <w:p>
            <w:pPr>
              <w:pStyle w:val="Compact"/>
              <w:jc w:val="left"/>
            </w:pPr>
            <w:r>
              <w:t xml:space="preserve">2025-01-10</w:t>
            </w:r>
          </w:p>
        </w:tc>
        <w:tc>
          <w:tcPr/>
          <w:p>
            <w:pPr>
              <w:pStyle w:val="Compact"/>
              <w:jc w:val="left"/>
            </w:pPr>
            <w:r>
              <w:t xml:space="preserve">2028-01-09</w:t>
            </w:r>
          </w:p>
        </w:tc>
        <w:tc>
          <w:tcPr/>
          <w:p>
            <w:pPr>
              <w:pStyle w:val="Compact"/>
              <w:jc w:val="left"/>
            </w:pPr>
            <w:r>
              <w:t xml:space="preserve">2025-01-10</w:t>
            </w:r>
          </w:p>
        </w:tc>
      </w:tr>
    </w:tbl>
    <w:p>
      <w:r>
        <w:pict>
          <v:rect style="width:0;height:1.5pt" o:hralign="center" o:hrstd="t" o:hr="t"/>
        </w:pict>
      </w:r>
    </w:p>
    <w:bookmarkEnd w:id="33"/>
    <w:bookmarkEnd w:id="34"/>
    <w:bookmarkStart w:id="39" w:name="physical-safeguards-45-cfr-164.310"/>
    <w:p>
      <w:pPr>
        <w:pStyle w:val="Heading2"/>
      </w:pPr>
      <w:r>
        <w:t xml:space="preserve">3. Physical Safeguards (45 CFR §164.310)</w:t>
      </w:r>
    </w:p>
    <w:bookmarkStart w:id="35" w:name="facility-access-controls-164.310a1"/>
    <w:p>
      <w:pPr>
        <w:pStyle w:val="Heading3"/>
      </w:pPr>
      <w:r>
        <w:t xml:space="preserve">3.1 Facility Access Controls — §164.310(a)(1)</w:t>
      </w:r>
    </w:p>
    <w:p>
      <w:pPr>
        <w:numPr>
          <w:ilvl w:val="0"/>
          <w:numId w:val="1010"/>
        </w:numPr>
        <w:pStyle w:val="Compact"/>
      </w:pPr>
      <w:r>
        <w:t xml:space="preserve">☒ Facility security plan documented</w:t>
      </w:r>
    </w:p>
    <w:p>
      <w:pPr>
        <w:numPr>
          <w:ilvl w:val="0"/>
          <w:numId w:val="1010"/>
        </w:numPr>
        <w:pStyle w:val="Compact"/>
      </w:pPr>
      <w:r>
        <w:t xml:space="preserve">☒ Access control and validation procedures (badge system, visitor logs)</w:t>
      </w:r>
    </w:p>
    <w:p>
      <w:pPr>
        <w:numPr>
          <w:ilvl w:val="0"/>
          <w:numId w:val="1010"/>
        </w:numPr>
        <w:pStyle w:val="Compact"/>
      </w:pPr>
      <w:r>
        <w:t xml:space="preserve">☒ Maintenance records for physical security systems</w:t>
      </w:r>
    </w:p>
    <w:p>
      <w:pPr>
        <w:numPr>
          <w:ilvl w:val="0"/>
          <w:numId w:val="1010"/>
        </w:numPr>
        <w:pStyle w:val="Compact"/>
      </w:pPr>
      <w:r>
        <w:t xml:space="preserve">☒ Server room access restricted to authorized IT personnel only</w:t>
      </w:r>
    </w:p>
    <w:bookmarkEnd w:id="35"/>
    <w:bookmarkStart w:id="36" w:name="workstation-use-164.310b"/>
    <w:p>
      <w:pPr>
        <w:pStyle w:val="Heading3"/>
      </w:pPr>
      <w:r>
        <w:t xml:space="preserve">3.2 Workstation Use — §164.310(b)</w:t>
      </w:r>
    </w:p>
    <w:p>
      <w:pPr>
        <w:numPr>
          <w:ilvl w:val="0"/>
          <w:numId w:val="1011"/>
        </w:numPr>
        <w:pStyle w:val="Compact"/>
      </w:pPr>
      <w:r>
        <w:t xml:space="preserve">☒ Policies specifying proper workstation use and physical attributes of surroundings</w:t>
      </w:r>
    </w:p>
    <w:p>
      <w:pPr>
        <w:numPr>
          <w:ilvl w:val="0"/>
          <w:numId w:val="1011"/>
        </w:numPr>
        <w:pStyle w:val="Compact"/>
      </w:pPr>
      <w:r>
        <w:t xml:space="preserve">☒ Privacy screens installed on all workstations displaying PHI</w:t>
      </w:r>
    </w:p>
    <w:p>
      <w:pPr>
        <w:numPr>
          <w:ilvl w:val="0"/>
          <w:numId w:val="1011"/>
        </w:numPr>
        <w:pStyle w:val="Compact"/>
      </w:pPr>
      <w:r>
        <w:t xml:space="preserve">☒ Auto-lock policy: 5 minutes of inactivity</w:t>
      </w:r>
    </w:p>
    <w:p>
      <w:pPr>
        <w:numPr>
          <w:ilvl w:val="0"/>
          <w:numId w:val="1011"/>
        </w:numPr>
        <w:pStyle w:val="Compact"/>
      </w:pPr>
      <w:r>
        <w:t xml:space="preserve">☒ Clean desk policy enforced in clinical and billing areas</w:t>
      </w:r>
    </w:p>
    <w:bookmarkEnd w:id="36"/>
    <w:bookmarkStart w:id="37" w:name="workstation-security-164.310c"/>
    <w:p>
      <w:pPr>
        <w:pStyle w:val="Heading3"/>
      </w:pPr>
      <w:r>
        <w:t xml:space="preserve">3.3 Workstation Security — §164.310(c)</w:t>
      </w:r>
    </w:p>
    <w:p>
      <w:pPr>
        <w:numPr>
          <w:ilvl w:val="0"/>
          <w:numId w:val="1012"/>
        </w:numPr>
        <w:pStyle w:val="Compact"/>
      </w:pPr>
      <w:r>
        <w:t xml:space="preserve">☒ Physical safeguards restricting access to workstations with ePHI access</w:t>
      </w:r>
    </w:p>
    <w:p>
      <w:pPr>
        <w:numPr>
          <w:ilvl w:val="0"/>
          <w:numId w:val="1012"/>
        </w:numPr>
        <w:pStyle w:val="Compact"/>
      </w:pPr>
      <w:r>
        <w:t xml:space="preserve">☒ Cable locks on portable devices</w:t>
      </w:r>
    </w:p>
    <w:p>
      <w:pPr>
        <w:numPr>
          <w:ilvl w:val="0"/>
          <w:numId w:val="1012"/>
        </w:numPr>
        <w:pStyle w:val="Compact"/>
      </w:pPr>
      <w:r>
        <w:t xml:space="preserve">☒ Full-disk encryption on all laptops (BitLocker / FileVault)</w:t>
      </w:r>
    </w:p>
    <w:bookmarkEnd w:id="37"/>
    <w:bookmarkStart w:id="38" w:name="device-and-media-controls-164.310d1"/>
    <w:p>
      <w:pPr>
        <w:pStyle w:val="Heading3"/>
      </w:pPr>
      <w:r>
        <w:t xml:space="preserve">3.4 Device and Media Controls — §164.310(d)(1)</w:t>
      </w:r>
    </w:p>
    <w:p>
      <w:pPr>
        <w:numPr>
          <w:ilvl w:val="0"/>
          <w:numId w:val="1013"/>
        </w:numPr>
        <w:pStyle w:val="Compact"/>
      </w:pPr>
      <w:r>
        <w:t xml:space="preserve">☒ Disposal procedures for hardware containing ePHI (NIST SP 800-88 compliant)</w:t>
      </w:r>
    </w:p>
    <w:p>
      <w:pPr>
        <w:numPr>
          <w:ilvl w:val="0"/>
          <w:numId w:val="1013"/>
        </w:numPr>
        <w:pStyle w:val="Compact"/>
      </w:pPr>
      <w:r>
        <w:t xml:space="preserve">☒ Media re-use procedures with certified data wiping</w:t>
      </w:r>
    </w:p>
    <w:p>
      <w:pPr>
        <w:numPr>
          <w:ilvl w:val="0"/>
          <w:numId w:val="1013"/>
        </w:numPr>
        <w:pStyle w:val="Compact"/>
      </w:pPr>
      <w:r>
        <w:t xml:space="preserve">☒ Accountability records for hardware and media movements</w:t>
      </w:r>
    </w:p>
    <w:p>
      <w:pPr>
        <w:numPr>
          <w:ilvl w:val="0"/>
          <w:numId w:val="1013"/>
        </w:numPr>
        <w:pStyle w:val="Compact"/>
      </w:pPr>
      <w:r>
        <w:t xml:space="preserve">☒ Data backup and storage procedures for removable media</w:t>
      </w:r>
    </w:p>
    <w:p>
      <w:r>
        <w:pict>
          <v:rect style="width:0;height:1.5pt" o:hralign="center" o:hrstd="t" o:hr="t"/>
        </w:pict>
      </w:r>
    </w:p>
    <w:bookmarkEnd w:id="38"/>
    <w:bookmarkEnd w:id="39"/>
    <w:bookmarkStart w:id="47" w:name="technical-safeguards-45-cfr-164.312"/>
    <w:p>
      <w:pPr>
        <w:pStyle w:val="Heading2"/>
      </w:pPr>
      <w:r>
        <w:t xml:space="preserve">4. Technical Safeguards (45 CFR §164.312)</w:t>
      </w:r>
    </w:p>
    <w:bookmarkStart w:id="41" w:name="access-control-164.312a1"/>
    <w:p>
      <w:pPr>
        <w:pStyle w:val="Heading3"/>
      </w:pPr>
      <w:r>
        <w:t xml:space="preserve">4.1 Access Control — §164.312(a)(1)</w:t>
      </w:r>
    </w:p>
    <w:p>
      <w:pPr>
        <w:numPr>
          <w:ilvl w:val="0"/>
          <w:numId w:val="1014"/>
        </w:numPr>
        <w:pStyle w:val="Compact"/>
      </w:pPr>
      <w:r>
        <w:t xml:space="preserve">☒ Unique user identification (no shared accounts)</w:t>
      </w:r>
    </w:p>
    <w:p>
      <w:pPr>
        <w:numPr>
          <w:ilvl w:val="0"/>
          <w:numId w:val="1014"/>
        </w:numPr>
        <w:pStyle w:val="Compact"/>
      </w:pPr>
      <w:r>
        <w:t xml:space="preserve">☒ Emergency access procedure documented</w:t>
      </w:r>
    </w:p>
    <w:p>
      <w:pPr>
        <w:numPr>
          <w:ilvl w:val="0"/>
          <w:numId w:val="1014"/>
        </w:numPr>
        <w:pStyle w:val="Compact"/>
      </w:pPr>
      <w:r>
        <w:t xml:space="preserve">☒ Automatic logoff after 15 minutes of inactivity</w:t>
      </w:r>
    </w:p>
    <w:p>
      <w:pPr>
        <w:numPr>
          <w:ilvl w:val="0"/>
          <w:numId w:val="1014"/>
        </w:numPr>
        <w:pStyle w:val="Compact"/>
      </w:pPr>
      <w:r>
        <w:t xml:space="preserve">☒ Encryption and decryption of ePHI at rest and in transit</w:t>
      </w:r>
    </w:p>
    <w:p>
      <w:pPr>
        <w:pStyle w:val="FirstParagraph"/>
      </w:pPr>
      <w:r>
        <w:rPr>
          <w:bCs/>
          <w:b/>
        </w:rPr>
        <w:t xml:space="preserve">Authentication Requirements:</w:t>
      </w:r>
    </w:p>
    <w:tbl>
      <w:tblPr>
        <w:tblStyle w:val="Table"/>
        <w:tblW w:type="pct" w:w="5000"/>
        <w:tblLook w:firstRow="1" w:lastRow="0" w:firstColumn="0" w:lastColumn="0" w:noHBand="0" w:noVBand="0" w:val="0020"/>
        <w:jc w:val="start"/>
      </w:tblPr>
      <w:tblGrid>
        <w:gridCol w:w="1922"/>
        <w:gridCol w:w="1768"/>
        <w:gridCol w:w="1076"/>
        <w:gridCol w:w="1307"/>
        <w:gridCol w:w="1845"/>
      </w:tblGrid>
      <w:tr>
        <w:trPr>
          <w:tblHeader w:val="true"/>
        </w:trPr>
        <w:tc>
          <w:tcPr/>
          <w:p>
            <w:pPr>
              <w:pStyle w:val="Compact"/>
              <w:jc w:val="left"/>
            </w:pPr>
            <w:r>
              <w:t xml:space="preserve">System Component</w:t>
            </w:r>
          </w:p>
        </w:tc>
        <w:tc>
          <w:tcPr/>
          <w:p>
            <w:pPr>
              <w:pStyle w:val="Compact"/>
              <w:jc w:val="left"/>
            </w:pPr>
            <w:r>
              <w:t xml:space="preserve">Auth Method</w:t>
            </w:r>
          </w:p>
        </w:tc>
        <w:tc>
          <w:tcPr/>
          <w:p>
            <w:pPr>
              <w:pStyle w:val="Compact"/>
              <w:jc w:val="left"/>
            </w:pPr>
            <w:r>
              <w:t xml:space="preserve">MFA Required</w:t>
            </w:r>
          </w:p>
        </w:tc>
        <w:tc>
          <w:tcPr/>
          <w:p>
            <w:pPr>
              <w:pStyle w:val="Compact"/>
              <w:jc w:val="left"/>
            </w:pPr>
            <w:r>
              <w:t xml:space="preserve">Session Timeout</w:t>
            </w:r>
          </w:p>
        </w:tc>
        <w:tc>
          <w:tcPr/>
          <w:p>
            <w:pPr>
              <w:pStyle w:val="Compact"/>
              <w:jc w:val="left"/>
            </w:pPr>
            <w:r>
              <w:t xml:space="preserve">Password Policy</w:t>
            </w:r>
          </w:p>
        </w:tc>
      </w:tr>
      <w:tr>
        <w:tc>
          <w:tcPr/>
          <w:p>
            <w:pPr>
              <w:pStyle w:val="Compact"/>
              <w:jc w:val="left"/>
            </w:pPr>
            <w:r>
              <w:t xml:space="preserve">Legacy VB6 Application</w:t>
            </w:r>
          </w:p>
        </w:tc>
        <w:tc>
          <w:tcPr/>
          <w:p>
            <w:pPr>
              <w:pStyle w:val="Compact"/>
              <w:jc w:val="left"/>
            </w:pPr>
            <w:r>
              <w:t xml:space="preserve">Username/Password</w:t>
            </w:r>
          </w:p>
        </w:tc>
        <w:tc>
          <w:tcPr/>
          <w:p>
            <w:pPr>
              <w:pStyle w:val="Compact"/>
              <w:jc w:val="left"/>
            </w:pPr>
            <w:r>
              <w:t xml:space="preserve">No (deficiency)</w:t>
            </w:r>
          </w:p>
        </w:tc>
        <w:tc>
          <w:tcPr/>
          <w:p>
            <w:pPr>
              <w:pStyle w:val="Compact"/>
              <w:jc w:val="left"/>
            </w:pPr>
            <w:r>
              <w:t xml:space="preserve">30 min</w:t>
            </w:r>
          </w:p>
        </w:tc>
        <w:tc>
          <w:tcPr/>
          <w:p>
            <w:pPr>
              <w:pStyle w:val="Compact"/>
              <w:jc w:val="left"/>
            </w:pPr>
            <w:r>
              <w:t xml:space="preserve">8 char, no complexity</w:t>
            </w:r>
          </w:p>
        </w:tc>
      </w:tr>
      <w:tr>
        <w:tc>
          <w:tcPr/>
          <w:p>
            <w:pPr>
              <w:pStyle w:val="Compact"/>
              <w:jc w:val="left"/>
            </w:pPr>
            <w:r>
              <w:t xml:space="preserve">New Spring Boot App</w:t>
            </w:r>
          </w:p>
        </w:tc>
        <w:tc>
          <w:tcPr/>
          <w:p>
            <w:pPr>
              <w:pStyle w:val="Compact"/>
              <w:jc w:val="left"/>
            </w:pPr>
            <w:r>
              <w:t xml:space="preserve">OAuth 2.0 + OIDC</w:t>
            </w:r>
          </w:p>
        </w:tc>
        <w:tc>
          <w:tcPr/>
          <w:p>
            <w:pPr>
              <w:pStyle w:val="Compact"/>
              <w:jc w:val="left"/>
            </w:pPr>
            <w:r>
              <w:t xml:space="preserve">Yes (TOTP)</w:t>
            </w:r>
          </w:p>
        </w:tc>
        <w:tc>
          <w:tcPr/>
          <w:p>
            <w:pPr>
              <w:pStyle w:val="Compact"/>
              <w:jc w:val="left"/>
            </w:pPr>
            <w:r>
              <w:t xml:space="preserve">15 min</w:t>
            </w:r>
          </w:p>
        </w:tc>
        <w:tc>
          <w:tcPr/>
          <w:p>
            <w:pPr>
              <w:pStyle w:val="Compact"/>
              <w:jc w:val="left"/>
            </w:pPr>
            <w:r>
              <w:t xml:space="preserve">12 char, complexity req</w:t>
            </w:r>
          </w:p>
        </w:tc>
      </w:tr>
      <w:tr>
        <w:tc>
          <w:tcPr/>
          <w:p>
            <w:pPr>
              <w:pStyle w:val="Compact"/>
              <w:jc w:val="left"/>
            </w:pPr>
            <w:r>
              <w:t xml:space="preserve">Database (PostgreSQL)</w:t>
            </w:r>
          </w:p>
        </w:tc>
        <w:tc>
          <w:tcPr/>
          <w:p>
            <w:pPr>
              <w:pStyle w:val="Compact"/>
              <w:jc w:val="left"/>
            </w:pPr>
            <w:r>
              <w:t xml:space="preserve">Certificate + Password</w:t>
            </w:r>
          </w:p>
        </w:tc>
        <w:tc>
          <w:tcPr/>
          <w:p>
            <w:pPr>
              <w:pStyle w:val="Compact"/>
              <w:jc w:val="left"/>
            </w:pPr>
            <w:r>
              <w:t xml:space="preserve">N/A</w:t>
            </w:r>
          </w:p>
        </w:tc>
        <w:tc>
          <w:tcPr/>
          <w:p>
            <w:pPr>
              <w:pStyle w:val="Compact"/>
              <w:jc w:val="left"/>
            </w:pPr>
            <w:r>
              <w:t xml:space="preserve">Connection pool</w:t>
            </w:r>
          </w:p>
        </w:tc>
        <w:tc>
          <w:tcPr/>
          <w:p>
            <w:pPr>
              <w:pStyle w:val="Compact"/>
              <w:jc w:val="left"/>
            </w:pPr>
            <w:r>
              <w:t xml:space="preserve">20 char, rotated 90d</w:t>
            </w:r>
          </w:p>
        </w:tc>
      </w:tr>
      <w:tr>
        <w:tc>
          <w:tcPr/>
          <w:p>
            <w:pPr>
              <w:pStyle w:val="Compact"/>
              <w:jc w:val="left"/>
            </w:pPr>
            <w:r>
              <w:t xml:space="preserve">AWS Console</w:t>
            </w:r>
          </w:p>
        </w:tc>
        <w:tc>
          <w:tcPr/>
          <w:p>
            <w:pPr>
              <w:pStyle w:val="Compact"/>
              <w:jc w:val="left"/>
            </w:pPr>
            <w:r>
              <w:t xml:space="preserve">IAM + MFA</w:t>
            </w:r>
          </w:p>
        </w:tc>
        <w:tc>
          <w:tcPr/>
          <w:p>
            <w:pPr>
              <w:pStyle w:val="Compact"/>
              <w:jc w:val="left"/>
            </w:pPr>
            <w:r>
              <w:t xml:space="preserve">Yes (U2F)</w:t>
            </w:r>
          </w:p>
        </w:tc>
        <w:tc>
          <w:tcPr/>
          <w:p>
            <w:pPr>
              <w:pStyle w:val="Compact"/>
              <w:jc w:val="left"/>
            </w:pPr>
            <w:r>
              <w:t xml:space="preserve">1 hour</w:t>
            </w:r>
          </w:p>
        </w:tc>
        <w:tc>
          <w:tcPr/>
          <w:p>
            <w:pPr>
              <w:pStyle w:val="Compact"/>
              <w:jc w:val="left"/>
            </w:pPr>
            <w:r>
              <w:t xml:space="preserve">16 char, rotated 90d</w:t>
            </w:r>
          </w:p>
        </w:tc>
      </w:tr>
      <w:tr>
        <w:tc>
          <w:tcPr/>
          <w:p>
            <w:pPr>
              <w:pStyle w:val="Compact"/>
              <w:jc w:val="left"/>
            </w:pPr>
            <w:r>
              <w:t xml:space="preserve">VPN Access</w:t>
            </w:r>
          </w:p>
        </w:tc>
        <w:tc>
          <w:tcPr/>
          <w:p>
            <w:pPr>
              <w:pStyle w:val="Compact"/>
              <w:jc w:val="left"/>
            </w:pPr>
            <w:r>
              <w:t xml:space="preserve">Certificate + LDAP</w:t>
            </w:r>
          </w:p>
        </w:tc>
        <w:tc>
          <w:tcPr/>
          <w:p>
            <w:pPr>
              <w:pStyle w:val="Compact"/>
              <w:jc w:val="left"/>
            </w:pPr>
            <w:r>
              <w:t xml:space="preserve">Yes (TOTP)</w:t>
            </w:r>
          </w:p>
        </w:tc>
        <w:tc>
          <w:tcPr/>
          <w:p>
            <w:pPr>
              <w:pStyle w:val="Compact"/>
              <w:jc w:val="left"/>
            </w:pPr>
            <w:r>
              <w:t xml:space="preserve">8 hours</w:t>
            </w:r>
          </w:p>
        </w:tc>
        <w:tc>
          <w:tcPr/>
          <w:p>
            <w:pPr>
              <w:pStyle w:val="Compact"/>
              <w:jc w:val="left"/>
            </w:pPr>
            <w:r>
              <w:t xml:space="preserve">LDAP policy</w:t>
            </w:r>
          </w:p>
        </w:tc>
      </w:tr>
    </w:tbl>
    <w:p>
      <w:pPr>
        <w:pStyle w:val="BlockText"/>
      </w:pPr>
      <w:r>
        <w:rPr>
          <w:bCs/>
          <w:b/>
        </w:rPr>
        <w:t xml:space="preserve">Migration Note:</w:t>
      </w:r>
      <w:r>
        <w:t xml:space="preserve"> </w:t>
      </w:r>
      <w:r>
        <w:t xml:space="preserve">The legacy VB6 system’s lack of MFA and weak password policy is a critical compliance gap. The Spring Boot migration addresses this — see</w:t>
      </w:r>
      <w:r>
        <w:t xml:space="preserve"> </w:t>
      </w:r>
      <w:hyperlink r:id="rId40">
        <w:r>
          <w:rPr>
            <w:rStyle w:val="Hyperlink"/>
          </w:rPr>
          <w:t xml:space="preserve">Java_Spring_Boot_Migration_Guidelines.md</w:t>
        </w:r>
      </w:hyperlink>
      <w:r>
        <w:t xml:space="preserve"> </w:t>
      </w:r>
      <w:r>
        <w:t xml:space="preserve">§4.1 for authentication architecture.</w:t>
      </w:r>
    </w:p>
    <w:bookmarkEnd w:id="41"/>
    <w:bookmarkStart w:id="43" w:name="audit-controls-164.312b"/>
    <w:p>
      <w:pPr>
        <w:pStyle w:val="Heading3"/>
      </w:pPr>
      <w:r>
        <w:t xml:space="preserve">4.2 Audit Controls — §164.312(b)</w:t>
      </w:r>
    </w:p>
    <w:p>
      <w:pPr>
        <w:numPr>
          <w:ilvl w:val="0"/>
          <w:numId w:val="1015"/>
        </w:numPr>
        <w:pStyle w:val="Compact"/>
      </w:pPr>
      <w:r>
        <w:t xml:space="preserve">☒ Hardware, software, and procedural mechanisms to record and examine activity</w:t>
      </w:r>
    </w:p>
    <w:p>
      <w:pPr>
        <w:numPr>
          <w:ilvl w:val="0"/>
          <w:numId w:val="1015"/>
        </w:numPr>
        <w:pStyle w:val="Compact"/>
      </w:pPr>
      <w:r>
        <w:t xml:space="preserve">☒ Audit logs capture: user ID, timestamp, action, resource accessed, source IP</w:t>
      </w:r>
    </w:p>
    <w:p>
      <w:pPr>
        <w:numPr>
          <w:ilvl w:val="0"/>
          <w:numId w:val="1015"/>
        </w:numPr>
        <w:pStyle w:val="Compact"/>
      </w:pPr>
      <w:r>
        <w:t xml:space="preserve">☒ Audit log retention: minimum 6 years (see</w:t>
      </w:r>
      <w:r>
        <w:t xml:space="preserve"> </w:t>
      </w:r>
      <w:hyperlink r:id="rId42">
        <w:r>
          <w:rPr>
            <w:rStyle w:val="Hyperlink"/>
          </w:rPr>
          <w:t xml:space="preserve">Audit_Trail_Requirements.md</w:t>
        </w:r>
      </w:hyperlink>
      <w:r>
        <w:t xml:space="preserve">)</w:t>
      </w:r>
    </w:p>
    <w:p>
      <w:pPr>
        <w:numPr>
          <w:ilvl w:val="0"/>
          <w:numId w:val="1015"/>
        </w:numPr>
        <w:pStyle w:val="Compact"/>
      </w:pPr>
      <w:r>
        <w:t xml:space="preserve">☒ Audit logs protected from tampering (write-once storage)</w:t>
      </w:r>
    </w:p>
    <w:p>
      <w:pPr>
        <w:numPr>
          <w:ilvl w:val="0"/>
          <w:numId w:val="1015"/>
        </w:numPr>
        <w:pStyle w:val="Compact"/>
      </w:pPr>
      <w:r>
        <w:t xml:space="preserve">☒ Automated alerting for suspicious activity patterns</w:t>
      </w:r>
    </w:p>
    <w:bookmarkEnd w:id="43"/>
    <w:bookmarkStart w:id="44" w:name="integrity-164.312c1"/>
    <w:p>
      <w:pPr>
        <w:pStyle w:val="Heading3"/>
      </w:pPr>
      <w:r>
        <w:t xml:space="preserve">4.3 Integrity — §164.312(c)(1)</w:t>
      </w:r>
    </w:p>
    <w:p>
      <w:pPr>
        <w:numPr>
          <w:ilvl w:val="0"/>
          <w:numId w:val="1016"/>
        </w:numPr>
        <w:pStyle w:val="Compact"/>
      </w:pPr>
      <w:r>
        <w:t xml:space="preserve">☒ Mechanism to authenticate ePHI (HMAC-SHA256 checksums)</w:t>
      </w:r>
    </w:p>
    <w:p>
      <w:pPr>
        <w:numPr>
          <w:ilvl w:val="0"/>
          <w:numId w:val="1016"/>
        </w:numPr>
        <w:pStyle w:val="Compact"/>
      </w:pPr>
      <w:r>
        <w:t xml:space="preserve">☒ Policies to protect ePHI from improper alteration or destruction</w:t>
      </w:r>
    </w:p>
    <w:p>
      <w:pPr>
        <w:numPr>
          <w:ilvl w:val="0"/>
          <w:numId w:val="1016"/>
        </w:numPr>
        <w:pStyle w:val="Compact"/>
      </w:pPr>
      <w:r>
        <w:t xml:space="preserve">☒ Database integrity constraints and referential integrity enforced</w:t>
      </w:r>
    </w:p>
    <w:bookmarkEnd w:id="44"/>
    <w:bookmarkStart w:id="45" w:name="person-or-entity-authentication-164.312d"/>
    <w:p>
      <w:pPr>
        <w:pStyle w:val="Heading3"/>
      </w:pPr>
      <w:r>
        <w:t xml:space="preserve">4.4 Person or Entity Authentication — §164.312(d)</w:t>
      </w:r>
    </w:p>
    <w:p>
      <w:pPr>
        <w:numPr>
          <w:ilvl w:val="0"/>
          <w:numId w:val="1017"/>
        </w:numPr>
        <w:pStyle w:val="Compact"/>
      </w:pPr>
      <w:r>
        <w:t xml:space="preserve">☒ Procedures to verify identity of person or entity seeking access to ePHI</w:t>
      </w:r>
    </w:p>
    <w:p>
      <w:pPr>
        <w:numPr>
          <w:ilvl w:val="0"/>
          <w:numId w:val="1017"/>
        </w:numPr>
        <w:pStyle w:val="Compact"/>
      </w:pPr>
      <w:r>
        <w:t xml:space="preserve">☒ Multi-factor authentication for remote access</w:t>
      </w:r>
    </w:p>
    <w:p>
      <w:pPr>
        <w:numPr>
          <w:ilvl w:val="0"/>
          <w:numId w:val="1017"/>
        </w:numPr>
        <w:pStyle w:val="Compact"/>
      </w:pPr>
      <w:r>
        <w:t xml:space="preserve">☒ Identity verification for password resets (security questions + manager approval)</w:t>
      </w:r>
    </w:p>
    <w:bookmarkEnd w:id="45"/>
    <w:bookmarkStart w:id="46" w:name="transmission-security-164.312e1"/>
    <w:p>
      <w:pPr>
        <w:pStyle w:val="Heading3"/>
      </w:pPr>
      <w:r>
        <w:t xml:space="preserve">4.5 Transmission Security — §164.312(e)(1)</w:t>
      </w:r>
    </w:p>
    <w:p>
      <w:pPr>
        <w:numPr>
          <w:ilvl w:val="0"/>
          <w:numId w:val="1018"/>
        </w:numPr>
        <w:pStyle w:val="Compact"/>
      </w:pPr>
      <w:r>
        <w:t xml:space="preserve">☒ Integrity controls for ePHI transmitted over networks</w:t>
      </w:r>
    </w:p>
    <w:p>
      <w:pPr>
        <w:numPr>
          <w:ilvl w:val="0"/>
          <w:numId w:val="1018"/>
        </w:numPr>
        <w:pStyle w:val="Compact"/>
      </w:pPr>
      <w:r>
        <w:t xml:space="preserve">☒ Encryption of ePHI in transit (TLS 1.3 minimum)</w:t>
      </w:r>
    </w:p>
    <w:p>
      <w:pPr>
        <w:numPr>
          <w:ilvl w:val="0"/>
          <w:numId w:val="1018"/>
        </w:numPr>
        <w:pStyle w:val="Compact"/>
      </w:pPr>
      <w:r>
        <w:t xml:space="preserve">☒ VPN required for all remote access to clinical systems</w:t>
      </w:r>
    </w:p>
    <w:p>
      <w:pPr>
        <w:numPr>
          <w:ilvl w:val="0"/>
          <w:numId w:val="1018"/>
        </w:numPr>
        <w:pStyle w:val="Compact"/>
      </w:pPr>
      <w:r>
        <w:t xml:space="preserve">☒ Email encryption for any communication containing PHI (S/MIME or TLS)</w:t>
      </w:r>
    </w:p>
    <w:p>
      <w:r>
        <w:pict>
          <v:rect style="width:0;height:1.5pt" o:hralign="center" o:hrstd="t" o:hr="t"/>
        </w:pict>
      </w:r>
    </w:p>
    <w:bookmarkEnd w:id="46"/>
    <w:bookmarkEnd w:id="47"/>
    <w:bookmarkStart w:id="50" w:name="Xf89e1ae688a9550368ae0002e069af77ce4cb56"/>
    <w:p>
      <w:pPr>
        <w:pStyle w:val="Heading2"/>
      </w:pPr>
      <w:r>
        <w:t xml:space="preserve">5. Organizational Requirements (45 CFR §164.314)</w:t>
      </w:r>
    </w:p>
    <w:bookmarkStart w:id="48" w:name="business-associate-contracts-164.314a1"/>
    <w:p>
      <w:pPr>
        <w:pStyle w:val="Heading3"/>
      </w:pPr>
      <w:r>
        <w:t xml:space="preserve">5.1 Business Associate Contracts — §164.314(a)(1)</w:t>
      </w:r>
    </w:p>
    <w:p>
      <w:pPr>
        <w:numPr>
          <w:ilvl w:val="0"/>
          <w:numId w:val="1019"/>
        </w:numPr>
        <w:pStyle w:val="Compact"/>
      </w:pPr>
      <w:r>
        <w:t xml:space="preserve">☒ Written contracts with all business associates (see §2.9 above)</w:t>
      </w:r>
    </w:p>
    <w:p>
      <w:pPr>
        <w:numPr>
          <w:ilvl w:val="0"/>
          <w:numId w:val="1019"/>
        </w:numPr>
        <w:pStyle w:val="Compact"/>
      </w:pPr>
      <w:r>
        <w:t xml:space="preserve">☒ Contracts require appropriate safeguards for PHI</w:t>
      </w:r>
    </w:p>
    <w:p>
      <w:pPr>
        <w:numPr>
          <w:ilvl w:val="0"/>
          <w:numId w:val="1019"/>
        </w:numPr>
        <w:pStyle w:val="Compact"/>
      </w:pPr>
      <w:r>
        <w:t xml:space="preserve">☒ Contracts specify permitted uses and disclosures</w:t>
      </w:r>
    </w:p>
    <w:p>
      <w:pPr>
        <w:numPr>
          <w:ilvl w:val="0"/>
          <w:numId w:val="1019"/>
        </w:numPr>
        <w:pStyle w:val="Compact"/>
      </w:pPr>
      <w:r>
        <w:t xml:space="preserve">☒ Breach notification clauses included in all BAAs</w:t>
      </w:r>
    </w:p>
    <w:bookmarkEnd w:id="48"/>
    <w:bookmarkStart w:id="49" w:name="group-health-plan-requirements-164.314b1"/>
    <w:p>
      <w:pPr>
        <w:pStyle w:val="Heading3"/>
      </w:pPr>
      <w:r>
        <w:t xml:space="preserve">5.2 Group Health Plan Requirements — §164.314(b)(1)</w:t>
      </w:r>
    </w:p>
    <w:p>
      <w:pPr>
        <w:numPr>
          <w:ilvl w:val="0"/>
          <w:numId w:val="1020"/>
        </w:numPr>
        <w:pStyle w:val="Compact"/>
      </w:pPr>
      <w:r>
        <w:t xml:space="preserve">☐ N/A — Organization is a dental care provider, not a group health plan</w:t>
      </w:r>
    </w:p>
    <w:p>
      <w:r>
        <w:pict>
          <v:rect style="width:0;height:1.5pt" o:hralign="center" o:hrstd="t" o:hr="t"/>
        </w:pict>
      </w:r>
    </w:p>
    <w:bookmarkEnd w:id="49"/>
    <w:bookmarkEnd w:id="50"/>
    <w:bookmarkStart w:id="53" w:name="X023bcedea47f1c4156f9a9e3604711925a9eef2"/>
    <w:p>
      <w:pPr>
        <w:pStyle w:val="Heading2"/>
      </w:pPr>
      <w:r>
        <w:t xml:space="preserve">6. Policies and Procedures &amp; Documentation (45 CFR §164.316)</w:t>
      </w:r>
    </w:p>
    <w:bookmarkStart w:id="51" w:name="policies-and-procedures-164.316a"/>
    <w:p>
      <w:pPr>
        <w:pStyle w:val="Heading3"/>
      </w:pPr>
      <w:r>
        <w:t xml:space="preserve">6.1 Policies and Procedures — §164.316(a)</w:t>
      </w:r>
    </w:p>
    <w:p>
      <w:pPr>
        <w:numPr>
          <w:ilvl w:val="0"/>
          <w:numId w:val="1021"/>
        </w:numPr>
        <w:pStyle w:val="Compact"/>
      </w:pPr>
      <w:r>
        <w:t xml:space="preserve">☒ All required policies and procedures implemented and documented</w:t>
      </w:r>
    </w:p>
    <w:p>
      <w:pPr>
        <w:numPr>
          <w:ilvl w:val="0"/>
          <w:numId w:val="1021"/>
        </w:numPr>
        <w:pStyle w:val="Compact"/>
      </w:pPr>
      <w:r>
        <w:t xml:space="preserve">☒ Policies reviewed and updated annually (or upon significant change)</w:t>
      </w:r>
    </w:p>
    <w:p>
      <w:pPr>
        <w:numPr>
          <w:ilvl w:val="0"/>
          <w:numId w:val="1021"/>
        </w:numPr>
        <w:pStyle w:val="Compact"/>
      </w:pPr>
      <w:r>
        <w:t xml:space="preserve">☒ Policies communicated to all workforce members</w:t>
      </w:r>
    </w:p>
    <w:p>
      <w:pPr>
        <w:numPr>
          <w:ilvl w:val="0"/>
          <w:numId w:val="1021"/>
        </w:numPr>
        <w:pStyle w:val="Compact"/>
      </w:pPr>
      <w:r>
        <w:t xml:space="preserve">☒ Policy acknowledgment forms signed by all employees</w:t>
      </w:r>
    </w:p>
    <w:bookmarkEnd w:id="51"/>
    <w:bookmarkStart w:id="52" w:name="documentation-164.316b1"/>
    <w:p>
      <w:pPr>
        <w:pStyle w:val="Heading3"/>
      </w:pPr>
      <w:r>
        <w:t xml:space="preserve">6.2 Documentation — §164.316(b)(1)</w:t>
      </w:r>
    </w:p>
    <w:p>
      <w:pPr>
        <w:numPr>
          <w:ilvl w:val="0"/>
          <w:numId w:val="1022"/>
        </w:numPr>
        <w:pStyle w:val="Compact"/>
      </w:pPr>
      <w:r>
        <w:t xml:space="preserve">☒ Documentation retained for minimum 6 years from date of creation or last effective date</w:t>
      </w:r>
    </w:p>
    <w:p>
      <w:pPr>
        <w:numPr>
          <w:ilvl w:val="0"/>
          <w:numId w:val="1022"/>
        </w:numPr>
        <w:pStyle w:val="Compact"/>
      </w:pPr>
      <w:r>
        <w:t xml:space="preserve">☒ Documentation available to persons responsible for implementation</w:t>
      </w:r>
    </w:p>
    <w:p>
      <w:pPr>
        <w:numPr>
          <w:ilvl w:val="0"/>
          <w:numId w:val="1022"/>
        </w:numPr>
        <w:pStyle w:val="Compact"/>
      </w:pPr>
      <w:r>
        <w:t xml:space="preserve">☒ Documentation reviewed and updated periodically</w:t>
      </w:r>
    </w:p>
    <w:p>
      <w:pPr>
        <w:pStyle w:val="FirstParagraph"/>
      </w:pPr>
      <w:r>
        <w:rPr>
          <w:bCs/>
          <w:b/>
        </w:rPr>
        <w:t xml:space="preserve">Policy Document Registry:</w:t>
      </w:r>
    </w:p>
    <w:tbl>
      <w:tblPr>
        <w:tblStyle w:val="Table"/>
        <w:tblW w:type="pct" w:w="5000"/>
        <w:tblLook w:firstRow="1" w:lastRow="0" w:firstColumn="0" w:lastColumn="0" w:noHBand="0" w:noVBand="0" w:val="0020"/>
        <w:jc w:val="start"/>
      </w:tblPr>
      <w:tblGrid>
        <w:gridCol w:w="3197"/>
        <w:gridCol w:w="1162"/>
        <w:gridCol w:w="653"/>
        <w:gridCol w:w="944"/>
        <w:gridCol w:w="944"/>
        <w:gridCol w:w="1017"/>
      </w:tblGrid>
      <w:tr>
        <w:trPr>
          <w:tblHeader w:val="true"/>
        </w:trPr>
        <w:tc>
          <w:tcPr/>
          <w:p>
            <w:pPr>
              <w:pStyle w:val="Compact"/>
              <w:jc w:val="left"/>
            </w:pPr>
            <w:r>
              <w:t xml:space="preserve">Document</w:t>
            </w:r>
          </w:p>
        </w:tc>
        <w:tc>
          <w:tcPr/>
          <w:p>
            <w:pPr>
              <w:pStyle w:val="Compact"/>
              <w:jc w:val="left"/>
            </w:pPr>
            <w:r>
              <w:t xml:space="preserve">Doc ID</w:t>
            </w:r>
          </w:p>
        </w:tc>
        <w:tc>
          <w:tcPr/>
          <w:p>
            <w:pPr>
              <w:pStyle w:val="Compact"/>
              <w:jc w:val="left"/>
            </w:pPr>
            <w:r>
              <w:t xml:space="preserve">Version</w:t>
            </w:r>
          </w:p>
        </w:tc>
        <w:tc>
          <w:tcPr/>
          <w:p>
            <w:pPr>
              <w:pStyle w:val="Compact"/>
              <w:jc w:val="left"/>
            </w:pPr>
            <w:r>
              <w:t xml:space="preserve">Last Review</w:t>
            </w:r>
          </w:p>
        </w:tc>
        <w:tc>
          <w:tcPr/>
          <w:p>
            <w:pPr>
              <w:pStyle w:val="Compact"/>
              <w:jc w:val="left"/>
            </w:pPr>
            <w:r>
              <w:t xml:space="preserve">Next Review</w:t>
            </w:r>
          </w:p>
        </w:tc>
        <w:tc>
          <w:tcPr/>
          <w:p>
            <w:pPr>
              <w:pStyle w:val="Compact"/>
              <w:jc w:val="left"/>
            </w:pPr>
            <w:r>
              <w:t xml:space="preserve">Owner</w:t>
            </w:r>
          </w:p>
        </w:tc>
      </w:tr>
      <w:tr>
        <w:tc>
          <w:tcPr/>
          <w:p>
            <w:pPr>
              <w:pStyle w:val="Compact"/>
              <w:jc w:val="left"/>
            </w:pPr>
            <w:r>
              <w:t xml:space="preserve">HIPAA Compliance Checklist</w:t>
            </w:r>
          </w:p>
        </w:tc>
        <w:tc>
          <w:tcPr/>
          <w:p>
            <w:pPr>
              <w:pStyle w:val="Compact"/>
              <w:jc w:val="left"/>
            </w:pPr>
            <w:r>
              <w:t xml:space="preserve">COMP-CHK-001</w:t>
            </w:r>
          </w:p>
        </w:tc>
        <w:tc>
          <w:tcPr/>
          <w:p>
            <w:pPr>
              <w:pStyle w:val="Compact"/>
              <w:jc w:val="left"/>
            </w:pPr>
            <w:r>
              <w:t xml:space="preserve">3.2</w:t>
            </w:r>
          </w:p>
        </w:tc>
        <w:tc>
          <w:tcPr/>
          <w:p>
            <w:pPr>
              <w:pStyle w:val="Compact"/>
              <w:jc w:val="left"/>
            </w:pPr>
            <w:r>
              <w:t xml:space="preserve">2025-09-01</w:t>
            </w:r>
          </w:p>
        </w:tc>
        <w:tc>
          <w:tcPr/>
          <w:p>
            <w:pPr>
              <w:pStyle w:val="Compact"/>
              <w:jc w:val="left"/>
            </w:pPr>
            <w:r>
              <w:t xml:space="preserve">2026-03-01</w:t>
            </w:r>
          </w:p>
        </w:tc>
        <w:tc>
          <w:tcPr/>
          <w:p>
            <w:pPr>
              <w:pStyle w:val="Compact"/>
              <w:jc w:val="left"/>
            </w:pPr>
            <w:r>
              <w:t xml:space="preserve">S. Kim</w:t>
            </w:r>
          </w:p>
        </w:tc>
      </w:tr>
      <w:tr>
        <w:tc>
          <w:tcPr/>
          <w:p>
            <w:pPr>
              <w:pStyle w:val="Compact"/>
              <w:jc w:val="left"/>
            </w:pPr>
            <w:r>
              <w:t xml:space="preserve">HIPAA Security Rule Requirements</w:t>
            </w:r>
          </w:p>
        </w:tc>
        <w:tc>
          <w:tcPr/>
          <w:p>
            <w:pPr>
              <w:pStyle w:val="Compact"/>
              <w:jc w:val="left"/>
            </w:pPr>
            <w:r>
              <w:t xml:space="preserve">COMP-SEC-001</w:t>
            </w:r>
          </w:p>
        </w:tc>
        <w:tc>
          <w:tcPr/>
          <w:p>
            <w:pPr>
              <w:pStyle w:val="Compact"/>
              <w:jc w:val="left"/>
            </w:pPr>
            <w:r>
              <w:t xml:space="preserve">2.4</w:t>
            </w:r>
          </w:p>
        </w:tc>
        <w:tc>
          <w:tcPr/>
          <w:p>
            <w:pPr>
              <w:pStyle w:val="Compact"/>
              <w:jc w:val="left"/>
            </w:pPr>
            <w:r>
              <w:t xml:space="preserve">2025-08-15</w:t>
            </w:r>
          </w:p>
        </w:tc>
        <w:tc>
          <w:tcPr/>
          <w:p>
            <w:pPr>
              <w:pStyle w:val="Compact"/>
              <w:jc w:val="left"/>
            </w:pPr>
            <w:r>
              <w:t xml:space="preserve">2026-02-15</w:t>
            </w:r>
          </w:p>
        </w:tc>
        <w:tc>
          <w:tcPr/>
          <w:p>
            <w:pPr>
              <w:pStyle w:val="Compact"/>
              <w:jc w:val="left"/>
            </w:pPr>
            <w:r>
              <w:t xml:space="preserve">M. Chen</w:t>
            </w:r>
          </w:p>
        </w:tc>
      </w:tr>
      <w:tr>
        <w:tc>
          <w:tcPr/>
          <w:p>
            <w:pPr>
              <w:pStyle w:val="Compact"/>
              <w:jc w:val="left"/>
            </w:pPr>
            <w:r>
              <w:t xml:space="preserve">PHI Data Handling Policy</w:t>
            </w:r>
          </w:p>
        </w:tc>
        <w:tc>
          <w:tcPr/>
          <w:p>
            <w:pPr>
              <w:pStyle w:val="Compact"/>
              <w:jc w:val="left"/>
            </w:pPr>
            <w:r>
              <w:t xml:space="preserve">COMP-PHI-001</w:t>
            </w:r>
          </w:p>
        </w:tc>
        <w:tc>
          <w:tcPr/>
          <w:p>
            <w:pPr>
              <w:pStyle w:val="Compact"/>
              <w:jc w:val="left"/>
            </w:pPr>
            <w:r>
              <w:t xml:space="preserve">2.1</w:t>
            </w:r>
          </w:p>
        </w:tc>
        <w:tc>
          <w:tcPr/>
          <w:p>
            <w:pPr>
              <w:pStyle w:val="Compact"/>
              <w:jc w:val="left"/>
            </w:pPr>
            <w:r>
              <w:t xml:space="preserve">2025-07-01</w:t>
            </w:r>
          </w:p>
        </w:tc>
        <w:tc>
          <w:tcPr/>
          <w:p>
            <w:pPr>
              <w:pStyle w:val="Compact"/>
              <w:jc w:val="left"/>
            </w:pPr>
            <w:r>
              <w:t xml:space="preserve">2026-01-01</w:t>
            </w:r>
          </w:p>
        </w:tc>
        <w:tc>
          <w:tcPr/>
          <w:p>
            <w:pPr>
              <w:pStyle w:val="Compact"/>
              <w:jc w:val="left"/>
            </w:pPr>
            <w:r>
              <w:t xml:space="preserve">S. Kim</w:t>
            </w:r>
          </w:p>
        </w:tc>
      </w:tr>
      <w:tr>
        <w:tc>
          <w:tcPr/>
          <w:p>
            <w:pPr>
              <w:pStyle w:val="Compact"/>
              <w:jc w:val="left"/>
            </w:pPr>
            <w:r>
              <w:t xml:space="preserve">Access Control Policy</w:t>
            </w:r>
          </w:p>
        </w:tc>
        <w:tc>
          <w:tcPr/>
          <w:p>
            <w:pPr>
              <w:pStyle w:val="Compact"/>
              <w:jc w:val="left"/>
            </w:pPr>
            <w:r>
              <w:t xml:space="preserve">COMP-ACC-001</w:t>
            </w:r>
          </w:p>
        </w:tc>
        <w:tc>
          <w:tcPr/>
          <w:p>
            <w:pPr>
              <w:pStyle w:val="Compact"/>
              <w:jc w:val="left"/>
            </w:pPr>
            <w:r>
              <w:t xml:space="preserve">3.0</w:t>
            </w:r>
          </w:p>
        </w:tc>
        <w:tc>
          <w:tcPr/>
          <w:p>
            <w:pPr>
              <w:pStyle w:val="Compact"/>
              <w:jc w:val="left"/>
            </w:pPr>
            <w:r>
              <w:t xml:space="preserve">2025-09-01</w:t>
            </w:r>
          </w:p>
        </w:tc>
        <w:tc>
          <w:tcPr/>
          <w:p>
            <w:pPr>
              <w:pStyle w:val="Compact"/>
              <w:jc w:val="left"/>
            </w:pPr>
            <w:r>
              <w:t xml:space="preserve">2026-03-01</w:t>
            </w:r>
          </w:p>
        </w:tc>
        <w:tc>
          <w:tcPr/>
          <w:p>
            <w:pPr>
              <w:pStyle w:val="Compact"/>
              <w:jc w:val="left"/>
            </w:pPr>
            <w:r>
              <w:t xml:space="preserve">M. Chen</w:t>
            </w:r>
          </w:p>
        </w:tc>
      </w:tr>
      <w:tr>
        <w:tc>
          <w:tcPr/>
          <w:p>
            <w:pPr>
              <w:pStyle w:val="Compact"/>
              <w:jc w:val="left"/>
            </w:pPr>
            <w:r>
              <w:t xml:space="preserve">Audit Trail Requirements</w:t>
            </w:r>
          </w:p>
        </w:tc>
        <w:tc>
          <w:tcPr/>
          <w:p>
            <w:pPr>
              <w:pStyle w:val="Compact"/>
              <w:jc w:val="left"/>
            </w:pPr>
            <w:r>
              <w:t xml:space="preserve">COMP-AUD-001</w:t>
            </w:r>
          </w:p>
        </w:tc>
        <w:tc>
          <w:tcPr/>
          <w:p>
            <w:pPr>
              <w:pStyle w:val="Compact"/>
              <w:jc w:val="left"/>
            </w:pPr>
            <w:r>
              <w:t xml:space="preserve">1.3</w:t>
            </w:r>
          </w:p>
        </w:tc>
        <w:tc>
          <w:tcPr/>
          <w:p>
            <w:pPr>
              <w:pStyle w:val="Compact"/>
              <w:jc w:val="left"/>
            </w:pPr>
            <w:r>
              <w:t xml:space="preserve">2025-06-15</w:t>
            </w:r>
          </w:p>
        </w:tc>
        <w:tc>
          <w:tcPr/>
          <w:p>
            <w:pPr>
              <w:pStyle w:val="Compact"/>
              <w:jc w:val="left"/>
            </w:pPr>
            <w:r>
              <w:t xml:space="preserve">2025-12-15</w:t>
            </w:r>
          </w:p>
        </w:tc>
        <w:tc>
          <w:tcPr/>
          <w:p>
            <w:pPr>
              <w:pStyle w:val="Compact"/>
              <w:jc w:val="left"/>
            </w:pPr>
            <w:r>
              <w:t xml:space="preserve">M. Chen</w:t>
            </w:r>
          </w:p>
        </w:tc>
      </w:tr>
      <w:tr>
        <w:tc>
          <w:tcPr/>
          <w:p>
            <w:pPr>
              <w:pStyle w:val="Compact"/>
              <w:jc w:val="left"/>
            </w:pPr>
            <w:r>
              <w:t xml:space="preserve">Breach Notification Procedures</w:t>
            </w:r>
          </w:p>
        </w:tc>
        <w:tc>
          <w:tcPr/>
          <w:p>
            <w:pPr>
              <w:pStyle w:val="Compact"/>
              <w:jc w:val="left"/>
            </w:pPr>
            <w:r>
              <w:t xml:space="preserve">COMP-BRN-001</w:t>
            </w:r>
          </w:p>
        </w:tc>
        <w:tc>
          <w:tcPr/>
          <w:p>
            <w:pPr>
              <w:pStyle w:val="Compact"/>
              <w:jc w:val="left"/>
            </w:pPr>
            <w:r>
              <w:t xml:space="preserve">2.0</w:t>
            </w:r>
          </w:p>
        </w:tc>
        <w:tc>
          <w:tcPr/>
          <w:p>
            <w:pPr>
              <w:pStyle w:val="Compact"/>
              <w:jc w:val="left"/>
            </w:pPr>
            <w:r>
              <w:t xml:space="preserve">2025-05-01</w:t>
            </w:r>
          </w:p>
        </w:tc>
        <w:tc>
          <w:tcPr/>
          <w:p>
            <w:pPr>
              <w:pStyle w:val="Compact"/>
              <w:jc w:val="left"/>
            </w:pPr>
            <w:r>
              <w:t xml:space="preserve">2025-11-01</w:t>
            </w:r>
          </w:p>
        </w:tc>
        <w:tc>
          <w:tcPr/>
          <w:p>
            <w:pPr>
              <w:pStyle w:val="Compact"/>
              <w:jc w:val="left"/>
            </w:pPr>
            <w:r>
              <w:t xml:space="preserve">S. Kim</w:t>
            </w:r>
          </w:p>
        </w:tc>
      </w:tr>
      <w:tr>
        <w:tc>
          <w:tcPr/>
          <w:p>
            <w:pPr>
              <w:pStyle w:val="Compact"/>
              <w:jc w:val="left"/>
            </w:pPr>
            <w:r>
              <w:t xml:space="preserve">Data Retention and Disposal Policy</w:t>
            </w:r>
          </w:p>
        </w:tc>
        <w:tc>
          <w:tcPr/>
          <w:p>
            <w:pPr>
              <w:pStyle w:val="Compact"/>
              <w:jc w:val="left"/>
            </w:pPr>
            <w:r>
              <w:t xml:space="preserve">COMP-DRD-001</w:t>
            </w:r>
          </w:p>
        </w:tc>
        <w:tc>
          <w:tcPr/>
          <w:p>
            <w:pPr>
              <w:pStyle w:val="Compact"/>
              <w:jc w:val="left"/>
            </w:pPr>
            <w:r>
              <w:t xml:space="preserve">1.5</w:t>
            </w:r>
          </w:p>
        </w:tc>
        <w:tc>
          <w:tcPr/>
          <w:p>
            <w:pPr>
              <w:pStyle w:val="Compact"/>
              <w:jc w:val="left"/>
            </w:pPr>
            <w:r>
              <w:t xml:space="preserve">2025-08-01</w:t>
            </w:r>
          </w:p>
        </w:tc>
        <w:tc>
          <w:tcPr/>
          <w:p>
            <w:pPr>
              <w:pStyle w:val="Compact"/>
              <w:jc w:val="left"/>
            </w:pPr>
            <w:r>
              <w:t xml:space="preserve">2026-02-01</w:t>
            </w:r>
          </w:p>
        </w:tc>
        <w:tc>
          <w:tcPr/>
          <w:p>
            <w:pPr>
              <w:pStyle w:val="Compact"/>
              <w:jc w:val="left"/>
            </w:pPr>
            <w:r>
              <w:t xml:space="preserve">J. Ortiz</w:t>
            </w:r>
          </w:p>
        </w:tc>
      </w:tr>
    </w:tbl>
    <w:p>
      <w:r>
        <w:pict>
          <v:rect style="width:0;height:1.5pt" o:hralign="center" o:hrstd="t" o:hr="t"/>
        </w:pict>
      </w:r>
    </w:p>
    <w:bookmarkEnd w:id="52"/>
    <w:bookmarkEnd w:id="53"/>
    <w:bookmarkStart w:id="58" w:name="migration-specific-compliance-items"/>
    <w:p>
      <w:pPr>
        <w:pStyle w:val="Heading2"/>
      </w:pPr>
      <w:r>
        <w:t xml:space="preserve">7. Migration-Specific Compliance Items</w:t>
      </w:r>
    </w:p>
    <w:p>
      <w:pPr>
        <w:pStyle w:val="FirstParagraph"/>
      </w:pPr>
      <w:r>
        <w:t xml:space="preserve">These items are specific to the VB6 → Java Spring Boot migration and must be completed before the legacy system is decommissioned.</w:t>
      </w:r>
    </w:p>
    <w:bookmarkStart w:id="54" w:name="pre-migration-compliance"/>
    <w:p>
      <w:pPr>
        <w:pStyle w:val="Heading3"/>
      </w:pPr>
      <w:r>
        <w:t xml:space="preserve">7.1 Pre-Migration Compliance</w:t>
      </w:r>
    </w:p>
    <w:p>
      <w:pPr>
        <w:numPr>
          <w:ilvl w:val="0"/>
          <w:numId w:val="1023"/>
        </w:numPr>
        <w:pStyle w:val="Compact"/>
      </w:pPr>
      <w:r>
        <w:t xml:space="preserve">☒ Privacy Impact Assessment (PIA) completed for new system architecture</w:t>
      </w:r>
    </w:p>
    <w:p>
      <w:pPr>
        <w:numPr>
          <w:ilvl w:val="0"/>
          <w:numId w:val="1023"/>
        </w:numPr>
        <w:pStyle w:val="Compact"/>
      </w:pPr>
      <w:r>
        <w:t xml:space="preserve">☒ Security Impact Assessment (SIA) completed for cloud deployment</w:t>
      </w:r>
    </w:p>
    <w:p>
      <w:pPr>
        <w:numPr>
          <w:ilvl w:val="0"/>
          <w:numId w:val="1023"/>
        </w:numPr>
        <w:pStyle w:val="Compact"/>
      </w:pPr>
      <w:r>
        <w:t xml:space="preserve">☒ Data mapping exercise — all PHI fields identified in legacy and target systems</w:t>
      </w:r>
    </w:p>
    <w:p>
      <w:pPr>
        <w:numPr>
          <w:ilvl w:val="0"/>
          <w:numId w:val="1023"/>
        </w:numPr>
        <w:pStyle w:val="Compact"/>
      </w:pPr>
      <w:r>
        <w:t xml:space="preserve">☒ Business Associate Agreement with AWS updated for new service usage</w:t>
      </w:r>
    </w:p>
    <w:p>
      <w:pPr>
        <w:numPr>
          <w:ilvl w:val="0"/>
          <w:numId w:val="1023"/>
        </w:numPr>
        <w:pStyle w:val="Compact"/>
      </w:pPr>
      <w:r>
        <w:t xml:space="preserve">☐ Penetration test scheduled for new Spring Boot application (scheduled: 2026-01-15)</w:t>
      </w:r>
    </w:p>
    <w:p>
      <w:pPr>
        <w:numPr>
          <w:ilvl w:val="0"/>
          <w:numId w:val="1023"/>
        </w:numPr>
        <w:pStyle w:val="Compact"/>
      </w:pPr>
      <w:r>
        <w:t xml:space="preserve">☒ Data encryption verification for migration data pipeline</w:t>
      </w:r>
    </w:p>
    <w:bookmarkEnd w:id="54"/>
    <w:bookmarkStart w:id="55" w:name="during-migration"/>
    <w:p>
      <w:pPr>
        <w:pStyle w:val="Heading3"/>
      </w:pPr>
      <w:r>
        <w:t xml:space="preserve">7.2 During Migration</w:t>
      </w:r>
    </w:p>
    <w:p>
      <w:pPr>
        <w:numPr>
          <w:ilvl w:val="0"/>
          <w:numId w:val="1024"/>
        </w:numPr>
        <w:pStyle w:val="Compact"/>
      </w:pPr>
      <w:r>
        <w:t xml:space="preserve">☐ Parallel run compliance monitoring (both systems audited simultaneously)</w:t>
      </w:r>
    </w:p>
    <w:p>
      <w:pPr>
        <w:numPr>
          <w:ilvl w:val="0"/>
          <w:numId w:val="1024"/>
        </w:numPr>
        <w:pStyle w:val="Compact"/>
      </w:pPr>
      <w:r>
        <w:t xml:space="preserve">☐ Real-time data integrity verification between legacy and new databases</w:t>
      </w:r>
    </w:p>
    <w:p>
      <w:pPr>
        <w:numPr>
          <w:ilvl w:val="0"/>
          <w:numId w:val="1024"/>
        </w:numPr>
        <w:pStyle w:val="Compact"/>
      </w:pPr>
      <w:r>
        <w:t xml:space="preserve">☐ Access control parity check — no privilege escalation during migration</w:t>
      </w:r>
    </w:p>
    <w:p>
      <w:pPr>
        <w:numPr>
          <w:ilvl w:val="0"/>
          <w:numId w:val="1024"/>
        </w:numPr>
        <w:pStyle w:val="Compact"/>
      </w:pPr>
      <w:r>
        <w:t xml:space="preserve">☐ Audit trail continuity — no gaps between legacy and new system logs</w:t>
      </w:r>
    </w:p>
    <w:p>
      <w:pPr>
        <w:numPr>
          <w:ilvl w:val="0"/>
          <w:numId w:val="1024"/>
        </w:numPr>
        <w:pStyle w:val="Compact"/>
      </w:pPr>
      <w:r>
        <w:t xml:space="preserve">☒ Migration team signed additional confidentiality agreements</w:t>
      </w:r>
    </w:p>
    <w:bookmarkEnd w:id="55"/>
    <w:bookmarkStart w:id="57" w:name="post-migration-compliance"/>
    <w:p>
      <w:pPr>
        <w:pStyle w:val="Heading3"/>
      </w:pPr>
      <w:r>
        <w:t xml:space="preserve">7.3 Post-Migration Compliance</w:t>
      </w:r>
    </w:p>
    <w:p>
      <w:pPr>
        <w:numPr>
          <w:ilvl w:val="0"/>
          <w:numId w:val="1025"/>
        </w:numPr>
        <w:pStyle w:val="Compact"/>
      </w:pPr>
      <w:r>
        <w:t xml:space="preserve">☐ Legacy system decommissioning per</w:t>
      </w:r>
      <w:r>
        <w:t xml:space="preserve"> </w:t>
      </w:r>
      <w:hyperlink r:id="rId56">
        <w:r>
          <w:rPr>
            <w:rStyle w:val="Hyperlink"/>
          </w:rPr>
          <w:t xml:space="preserve">Data_Retention_and_Disposal_Policy.md</w:t>
        </w:r>
      </w:hyperlink>
    </w:p>
    <w:p>
      <w:pPr>
        <w:numPr>
          <w:ilvl w:val="0"/>
          <w:numId w:val="1025"/>
        </w:numPr>
        <w:pStyle w:val="Compact"/>
      </w:pPr>
      <w:r>
        <w:t xml:space="preserve">☐ Full security assessment of production Spring Boot deployment</w:t>
      </w:r>
    </w:p>
    <w:p>
      <w:pPr>
        <w:numPr>
          <w:ilvl w:val="0"/>
          <w:numId w:val="1025"/>
        </w:numPr>
        <w:pStyle w:val="Compact"/>
      </w:pPr>
      <w:r>
        <w:t xml:space="preserve">☐ Updated risk analysis reflecting new architecture</w:t>
      </w:r>
    </w:p>
    <w:p>
      <w:pPr>
        <w:numPr>
          <w:ilvl w:val="0"/>
          <w:numId w:val="1025"/>
        </w:numPr>
        <w:pStyle w:val="Compact"/>
      </w:pPr>
      <w:r>
        <w:t xml:space="preserve">☐ Staff re-training on new system security features</w:t>
      </w:r>
    </w:p>
    <w:p>
      <w:pPr>
        <w:numPr>
          <w:ilvl w:val="0"/>
          <w:numId w:val="1025"/>
        </w:numPr>
        <w:pStyle w:val="Compact"/>
      </w:pPr>
      <w:r>
        <w:t xml:space="preserve">☐ Updated incident response plan for cloud-based architecture</w:t>
      </w:r>
    </w:p>
    <w:p>
      <w:pPr>
        <w:numPr>
          <w:ilvl w:val="0"/>
          <w:numId w:val="1025"/>
        </w:numPr>
        <w:pStyle w:val="Compact"/>
      </w:pPr>
      <w:r>
        <w:t xml:space="preserve">☐ External compliance audit of migrated system</w:t>
      </w:r>
    </w:p>
    <w:p>
      <w:r>
        <w:pict>
          <v:rect style="width:0;height:1.5pt" o:hralign="center" o:hrstd="t" o:hr="t"/>
        </w:pict>
      </w:r>
    </w:p>
    <w:bookmarkEnd w:id="57"/>
    <w:bookmarkEnd w:id="58"/>
    <w:bookmarkStart w:id="60" w:name="compliance-metrics-and-kpis"/>
    <w:p>
      <w:pPr>
        <w:pStyle w:val="Heading2"/>
      </w:pPr>
      <w:r>
        <w:t xml:space="preserve">8. Compliance Metrics and KPIs</w:t>
      </w:r>
    </w:p>
    <w:tbl>
      <w:tblPr>
        <w:tblStyle w:val="Table"/>
        <w:tblW w:type="pct" w:w="5000"/>
        <w:tblLook w:firstRow="1" w:lastRow="0" w:firstColumn="0" w:lastColumn="0" w:noHBand="0" w:noVBand="0" w:val="0020"/>
        <w:jc w:val="start"/>
      </w:tblPr>
      <w:tblGrid>
        <w:gridCol w:w="4272"/>
        <w:gridCol w:w="1146"/>
        <w:gridCol w:w="1146"/>
        <w:gridCol w:w="1354"/>
      </w:tblGrid>
      <w:tr>
        <w:trPr>
          <w:tblHeader w:val="true"/>
        </w:trPr>
        <w:tc>
          <w:tcPr/>
          <w:p>
            <w:pPr>
              <w:pStyle w:val="Compact"/>
              <w:jc w:val="left"/>
            </w:pPr>
            <w:r>
              <w:t xml:space="preserve">Metric</w:t>
            </w:r>
          </w:p>
        </w:tc>
        <w:tc>
          <w:tcPr/>
          <w:p>
            <w:pPr>
              <w:pStyle w:val="Compact"/>
              <w:jc w:val="left"/>
            </w:pPr>
            <w:r>
              <w:t xml:space="preserve">Target</w:t>
            </w:r>
          </w:p>
        </w:tc>
        <w:tc>
          <w:tcPr/>
          <w:p>
            <w:pPr>
              <w:pStyle w:val="Compact"/>
              <w:jc w:val="left"/>
            </w:pPr>
            <w:r>
              <w:t xml:space="preserve">Current</w:t>
            </w:r>
          </w:p>
        </w:tc>
        <w:tc>
          <w:tcPr/>
          <w:p>
            <w:pPr>
              <w:pStyle w:val="Compact"/>
              <w:jc w:val="left"/>
            </w:pPr>
            <w:r>
              <w:t xml:space="preserve">Status</w:t>
            </w:r>
          </w:p>
        </w:tc>
      </w:tr>
      <w:tr>
        <w:tc>
          <w:tcPr/>
          <w:p>
            <w:pPr>
              <w:pStyle w:val="Compact"/>
              <w:jc w:val="left"/>
            </w:pPr>
            <w:r>
              <w:t xml:space="preserve">Training completion rate</w:t>
            </w:r>
          </w:p>
        </w:tc>
        <w:tc>
          <w:tcPr/>
          <w:p>
            <w:pPr>
              <w:pStyle w:val="Compact"/>
              <w:jc w:val="left"/>
            </w:pPr>
            <w:r>
              <w:t xml:space="preserve">≥95%</w:t>
            </w:r>
          </w:p>
        </w:tc>
        <w:tc>
          <w:tcPr/>
          <w:p>
            <w:pPr>
              <w:pStyle w:val="Compact"/>
              <w:jc w:val="left"/>
            </w:pPr>
            <w:r>
              <w:t xml:space="preserve">98%</w:t>
            </w:r>
          </w:p>
        </w:tc>
        <w:tc>
          <w:tcPr/>
          <w:p>
            <w:pPr>
              <w:pStyle w:val="Compact"/>
              <w:jc w:val="left"/>
            </w:pPr>
            <w:r>
              <w:t xml:space="preserve">On Track</w:t>
            </w:r>
          </w:p>
        </w:tc>
      </w:tr>
      <w:tr>
        <w:tc>
          <w:tcPr/>
          <w:p>
            <w:pPr>
              <w:pStyle w:val="Compact"/>
              <w:jc w:val="left"/>
            </w:pPr>
            <w:r>
              <w:t xml:space="preserve">Phishing simulation click rate</w:t>
            </w:r>
          </w:p>
        </w:tc>
        <w:tc>
          <w:tcPr/>
          <w:p>
            <w:pPr>
              <w:pStyle w:val="Compact"/>
              <w:jc w:val="left"/>
            </w:pPr>
            <w:r>
              <w:t xml:space="preserve">≤5%</w:t>
            </w:r>
          </w:p>
        </w:tc>
        <w:tc>
          <w:tcPr/>
          <w:p>
            <w:pPr>
              <w:pStyle w:val="Compact"/>
              <w:jc w:val="left"/>
            </w:pPr>
            <w:r>
              <w:t xml:space="preserve">4.3%</w:t>
            </w:r>
          </w:p>
        </w:tc>
        <w:tc>
          <w:tcPr/>
          <w:p>
            <w:pPr>
              <w:pStyle w:val="Compact"/>
              <w:jc w:val="left"/>
            </w:pPr>
            <w:r>
              <w:t xml:space="preserve">On Track</w:t>
            </w:r>
          </w:p>
        </w:tc>
      </w:tr>
      <w:tr>
        <w:tc>
          <w:tcPr/>
          <w:p>
            <w:pPr>
              <w:pStyle w:val="Compact"/>
              <w:jc w:val="left"/>
            </w:pPr>
            <w:r>
              <w:t xml:space="preserve">Security incidents (monthly avg)</w:t>
            </w:r>
          </w:p>
        </w:tc>
        <w:tc>
          <w:tcPr/>
          <w:p>
            <w:pPr>
              <w:pStyle w:val="Compact"/>
              <w:jc w:val="left"/>
            </w:pPr>
            <w:r>
              <w:t xml:space="preserve">≤2</w:t>
            </w:r>
          </w:p>
        </w:tc>
        <w:tc>
          <w:tcPr/>
          <w:p>
            <w:pPr>
              <w:pStyle w:val="Compact"/>
              <w:jc w:val="left"/>
            </w:pPr>
            <w:r>
              <w:t xml:space="preserve">1.2</w:t>
            </w:r>
          </w:p>
        </w:tc>
        <w:tc>
          <w:tcPr/>
          <w:p>
            <w:pPr>
              <w:pStyle w:val="Compact"/>
              <w:jc w:val="left"/>
            </w:pPr>
            <w:r>
              <w:t xml:space="preserve">On Track</w:t>
            </w:r>
          </w:p>
        </w:tc>
      </w:tr>
      <w:tr>
        <w:tc>
          <w:tcPr/>
          <w:p>
            <w:pPr>
              <w:pStyle w:val="Compact"/>
              <w:jc w:val="left"/>
            </w:pPr>
            <w:r>
              <w:t xml:space="preserve">Time to detect security incident</w:t>
            </w:r>
          </w:p>
        </w:tc>
        <w:tc>
          <w:tcPr/>
          <w:p>
            <w:pPr>
              <w:pStyle w:val="Compact"/>
              <w:jc w:val="left"/>
            </w:pPr>
            <w:r>
              <w:t xml:space="preserve">≤1 hour</w:t>
            </w:r>
          </w:p>
        </w:tc>
        <w:tc>
          <w:tcPr/>
          <w:p>
            <w:pPr>
              <w:pStyle w:val="Compact"/>
              <w:jc w:val="left"/>
            </w:pPr>
            <w:r>
              <w:t xml:space="preserve">42 min</w:t>
            </w:r>
          </w:p>
        </w:tc>
        <w:tc>
          <w:tcPr/>
          <w:p>
            <w:pPr>
              <w:pStyle w:val="Compact"/>
              <w:jc w:val="left"/>
            </w:pPr>
            <w:r>
              <w:t xml:space="preserve">On Track</w:t>
            </w:r>
          </w:p>
        </w:tc>
      </w:tr>
      <w:tr>
        <w:tc>
          <w:tcPr/>
          <w:p>
            <w:pPr>
              <w:pStyle w:val="Compact"/>
              <w:jc w:val="left"/>
            </w:pPr>
            <w:r>
              <w:t xml:space="preserve">Time to contain security incident</w:t>
            </w:r>
          </w:p>
        </w:tc>
        <w:tc>
          <w:tcPr/>
          <w:p>
            <w:pPr>
              <w:pStyle w:val="Compact"/>
              <w:jc w:val="left"/>
            </w:pPr>
            <w:r>
              <w:t xml:space="preserve">≤4 hours</w:t>
            </w:r>
          </w:p>
        </w:tc>
        <w:tc>
          <w:tcPr/>
          <w:p>
            <w:pPr>
              <w:pStyle w:val="Compact"/>
              <w:jc w:val="left"/>
            </w:pPr>
            <w:r>
              <w:t xml:space="preserve">2.5 hours</w:t>
            </w:r>
          </w:p>
        </w:tc>
        <w:tc>
          <w:tcPr/>
          <w:p>
            <w:pPr>
              <w:pStyle w:val="Compact"/>
              <w:jc w:val="left"/>
            </w:pPr>
            <w:r>
              <w:t xml:space="preserve">On Track</w:t>
            </w:r>
          </w:p>
        </w:tc>
      </w:tr>
      <w:tr>
        <w:tc>
          <w:tcPr/>
          <w:p>
            <w:pPr>
              <w:pStyle w:val="Compact"/>
              <w:jc w:val="left"/>
            </w:pPr>
            <w:r>
              <w:t xml:space="preserve">Audit findings — critical</w:t>
            </w:r>
          </w:p>
        </w:tc>
        <w:tc>
          <w:tcPr/>
          <w:p>
            <w:pPr>
              <w:pStyle w:val="Compact"/>
              <w:jc w:val="left"/>
            </w:pPr>
            <w:r>
              <w:t xml:space="preserve">0</w:t>
            </w:r>
          </w:p>
        </w:tc>
        <w:tc>
          <w:tcPr/>
          <w:p>
            <w:pPr>
              <w:pStyle w:val="Compact"/>
              <w:jc w:val="left"/>
            </w:pPr>
            <w:r>
              <w:t xml:space="preserve">0</w:t>
            </w:r>
          </w:p>
        </w:tc>
        <w:tc>
          <w:tcPr/>
          <w:p>
            <w:pPr>
              <w:pStyle w:val="Compact"/>
              <w:jc w:val="left"/>
            </w:pPr>
            <w:r>
              <w:t xml:space="preserve">On Track</w:t>
            </w:r>
          </w:p>
        </w:tc>
      </w:tr>
      <w:tr>
        <w:tc>
          <w:tcPr/>
          <w:p>
            <w:pPr>
              <w:pStyle w:val="Compact"/>
              <w:jc w:val="left"/>
            </w:pPr>
            <w:r>
              <w:t xml:space="preserve">Audit findings — high</w:t>
            </w:r>
          </w:p>
        </w:tc>
        <w:tc>
          <w:tcPr/>
          <w:p>
            <w:pPr>
              <w:pStyle w:val="Compact"/>
              <w:jc w:val="left"/>
            </w:pPr>
            <w:r>
              <w:t xml:space="preserve">≤2</w:t>
            </w:r>
          </w:p>
        </w:tc>
        <w:tc>
          <w:tcPr/>
          <w:p>
            <w:pPr>
              <w:pStyle w:val="Compact"/>
              <w:jc w:val="left"/>
            </w:pPr>
            <w:r>
              <w:t xml:space="preserve">1</w:t>
            </w:r>
          </w:p>
        </w:tc>
        <w:tc>
          <w:tcPr/>
          <w:p>
            <w:pPr>
              <w:pStyle w:val="Compact"/>
              <w:jc w:val="left"/>
            </w:pPr>
            <w:r>
              <w:t xml:space="preserve">On Track</w:t>
            </w:r>
          </w:p>
        </w:tc>
      </w:tr>
      <w:tr>
        <w:tc>
          <w:tcPr/>
          <w:p>
            <w:pPr>
              <w:pStyle w:val="Compact"/>
              <w:jc w:val="left"/>
            </w:pPr>
            <w:r>
              <w:t xml:space="preserve">BAA coverage for vendors</w:t>
            </w:r>
          </w:p>
        </w:tc>
        <w:tc>
          <w:tcPr/>
          <w:p>
            <w:pPr>
              <w:pStyle w:val="Compact"/>
              <w:jc w:val="left"/>
            </w:pPr>
            <w:r>
              <w:t xml:space="preserve">100%</w:t>
            </w:r>
          </w:p>
        </w:tc>
        <w:tc>
          <w:tcPr/>
          <w:p>
            <w:pPr>
              <w:pStyle w:val="Compact"/>
              <w:jc w:val="left"/>
            </w:pPr>
            <w:r>
              <w:t xml:space="preserve">100%</w:t>
            </w:r>
          </w:p>
        </w:tc>
        <w:tc>
          <w:tcPr/>
          <w:p>
            <w:pPr>
              <w:pStyle w:val="Compact"/>
              <w:jc w:val="left"/>
            </w:pPr>
            <w:r>
              <w:t xml:space="preserve">On Track</w:t>
            </w:r>
          </w:p>
        </w:tc>
      </w:tr>
      <w:tr>
        <w:tc>
          <w:tcPr/>
          <w:p>
            <w:pPr>
              <w:pStyle w:val="Compact"/>
              <w:jc w:val="left"/>
            </w:pPr>
            <w:r>
              <w:t xml:space="preserve">Password policy compliance</w:t>
            </w:r>
          </w:p>
        </w:tc>
        <w:tc>
          <w:tcPr/>
          <w:p>
            <w:pPr>
              <w:pStyle w:val="Compact"/>
              <w:jc w:val="left"/>
            </w:pPr>
            <w:r>
              <w:t xml:space="preserve">100%</w:t>
            </w:r>
          </w:p>
        </w:tc>
        <w:tc>
          <w:tcPr/>
          <w:p>
            <w:pPr>
              <w:pStyle w:val="Compact"/>
              <w:jc w:val="left"/>
            </w:pPr>
            <w:r>
              <w:t xml:space="preserve">97%</w:t>
            </w:r>
          </w:p>
        </w:tc>
        <w:tc>
          <w:tcPr/>
          <w:p>
            <w:pPr>
              <w:pStyle w:val="Compact"/>
              <w:jc w:val="left"/>
            </w:pPr>
            <w:r>
              <w:t xml:space="preserve">At Risk</w:t>
            </w:r>
          </w:p>
        </w:tc>
      </w:tr>
      <w:tr>
        <w:tc>
          <w:tcPr/>
          <w:p>
            <w:pPr>
              <w:pStyle w:val="Compact"/>
              <w:jc w:val="left"/>
            </w:pPr>
            <w:r>
              <w:t xml:space="preserve">Encryption coverage (data at rest)</w:t>
            </w:r>
          </w:p>
        </w:tc>
        <w:tc>
          <w:tcPr/>
          <w:p>
            <w:pPr>
              <w:pStyle w:val="Compact"/>
              <w:jc w:val="left"/>
            </w:pPr>
            <w:r>
              <w:t xml:space="preserve">100%</w:t>
            </w:r>
          </w:p>
        </w:tc>
        <w:tc>
          <w:tcPr/>
          <w:p>
            <w:pPr>
              <w:pStyle w:val="Compact"/>
              <w:jc w:val="left"/>
            </w:pPr>
            <w:r>
              <w:t xml:space="preserve">94%</w:t>
            </w:r>
          </w:p>
        </w:tc>
        <w:tc>
          <w:tcPr/>
          <w:p>
            <w:pPr>
              <w:pStyle w:val="Compact"/>
              <w:jc w:val="left"/>
            </w:pPr>
            <w:r>
              <w:t xml:space="preserve">At Risk</w:t>
            </w:r>
          </w:p>
        </w:tc>
      </w:tr>
      <w:tr>
        <w:tc>
          <w:tcPr/>
          <w:p>
            <w:pPr>
              <w:pStyle w:val="Compact"/>
              <w:jc w:val="left"/>
            </w:pPr>
            <w:r>
              <w:t xml:space="preserve">Encryption coverage (data in transit)</w:t>
            </w:r>
          </w:p>
        </w:tc>
        <w:tc>
          <w:tcPr/>
          <w:p>
            <w:pPr>
              <w:pStyle w:val="Compact"/>
              <w:jc w:val="left"/>
            </w:pPr>
            <w:r>
              <w:t xml:space="preserve">100%</w:t>
            </w:r>
          </w:p>
        </w:tc>
        <w:tc>
          <w:tcPr/>
          <w:p>
            <w:pPr>
              <w:pStyle w:val="Compact"/>
              <w:jc w:val="left"/>
            </w:pPr>
            <w:r>
              <w:t xml:space="preserve">100%</w:t>
            </w:r>
          </w:p>
        </w:tc>
        <w:tc>
          <w:tcPr/>
          <w:p>
            <w:pPr>
              <w:pStyle w:val="Compact"/>
              <w:jc w:val="left"/>
            </w:pPr>
            <w:r>
              <w:t xml:space="preserve">On Track</w:t>
            </w:r>
          </w:p>
        </w:tc>
      </w:tr>
      <w:tr>
        <w:tc>
          <w:tcPr/>
          <w:p>
            <w:pPr>
              <w:pStyle w:val="Compact"/>
              <w:jc w:val="left"/>
            </w:pPr>
            <w:r>
              <w:t xml:space="preserve">Access review completion (quarterly)</w:t>
            </w:r>
          </w:p>
        </w:tc>
        <w:tc>
          <w:tcPr/>
          <w:p>
            <w:pPr>
              <w:pStyle w:val="Compact"/>
              <w:jc w:val="left"/>
            </w:pPr>
            <w:r>
              <w:t xml:space="preserve">100%</w:t>
            </w:r>
          </w:p>
        </w:tc>
        <w:tc>
          <w:tcPr/>
          <w:p>
            <w:pPr>
              <w:pStyle w:val="Compact"/>
              <w:jc w:val="left"/>
            </w:pPr>
            <w:r>
              <w:t xml:space="preserve">100%</w:t>
            </w:r>
          </w:p>
        </w:tc>
        <w:tc>
          <w:tcPr/>
          <w:p>
            <w:pPr>
              <w:pStyle w:val="Compact"/>
              <w:jc w:val="left"/>
            </w:pPr>
            <w:r>
              <w:t xml:space="preserve">On Track</w:t>
            </w:r>
          </w:p>
        </w:tc>
      </w:tr>
    </w:tbl>
    <w:p>
      <w:pPr>
        <w:pStyle w:val="BlockText"/>
      </w:pPr>
      <w:r>
        <w:rPr>
          <w:bCs/>
          <w:b/>
        </w:rPr>
        <w:t xml:space="preserve">Note:</w:t>
      </w:r>
      <w:r>
        <w:t xml:space="preserve"> </w:t>
      </w:r>
      <w:r>
        <w:t xml:space="preserve">Encryption at rest coverage is below target due to the legacy VB6 system’s unencrypted local data cache. This will be fully resolved upon migration completion. See</w:t>
      </w:r>
      <w:r>
        <w:t xml:space="preserve"> </w:t>
      </w:r>
      <w:hyperlink r:id="rId59">
        <w:r>
          <w:rPr>
            <w:rStyle w:val="Hyperlink"/>
          </w:rPr>
          <w:t xml:space="preserve">Legacy_Known_Issues_and_Tech_Debt.md</w:t>
        </w:r>
      </w:hyperlink>
      <w:r>
        <w:t xml:space="preserve"> </w:t>
      </w:r>
      <w:r>
        <w:t xml:space="preserve">§2.1.</w:t>
      </w:r>
    </w:p>
    <w:p>
      <w:r>
        <w:pict>
          <v:rect style="width:0;height:1.5pt" o:hralign="center" o:hrstd="t" o:hr="t"/>
        </w:pict>
      </w:r>
    </w:p>
    <w:bookmarkEnd w:id="60"/>
    <w:bookmarkStart w:id="61" w:name="Xa440a42b0cd9939e5db2489a83abba44f2f099d"/>
    <w:p>
      <w:pPr>
        <w:pStyle w:val="Heading2"/>
      </w:pPr>
      <w:r>
        <w:t xml:space="preserve">9. Appendix A — Regulatory Reference Quick Guide</w:t>
      </w:r>
    </w:p>
    <w:tbl>
      <w:tblPr>
        <w:tblStyle w:val="Table"/>
        <w:tblW w:type="pct" w:w="5000"/>
        <w:tblLook w:firstRow="1" w:lastRow="0" w:firstColumn="0" w:lastColumn="0" w:noHBand="0" w:noVBand="0" w:val="0020"/>
        <w:jc w:val="start"/>
      </w:tblPr>
      <w:tblGrid>
        <w:gridCol w:w="2135"/>
        <w:gridCol w:w="2046"/>
        <w:gridCol w:w="3737"/>
      </w:tblGrid>
      <w:tr>
        <w:trPr>
          <w:tblHeader w:val="true"/>
        </w:trPr>
        <w:tc>
          <w:tcPr/>
          <w:p>
            <w:pPr>
              <w:pStyle w:val="Compact"/>
              <w:jc w:val="left"/>
            </w:pPr>
            <w:r>
              <w:t xml:space="preserve">Regulation</w:t>
            </w:r>
          </w:p>
        </w:tc>
        <w:tc>
          <w:tcPr/>
          <w:p>
            <w:pPr>
              <w:pStyle w:val="Compact"/>
              <w:jc w:val="left"/>
            </w:pPr>
            <w:r>
              <w:t xml:space="preserve">Citation</w:t>
            </w:r>
          </w:p>
        </w:tc>
        <w:tc>
          <w:tcPr/>
          <w:p>
            <w:pPr>
              <w:pStyle w:val="Compact"/>
              <w:jc w:val="left"/>
            </w:pPr>
            <w:r>
              <w:t xml:space="preserve">Topic</w:t>
            </w:r>
          </w:p>
        </w:tc>
      </w:tr>
      <w:tr>
        <w:tc>
          <w:tcPr/>
          <w:p>
            <w:pPr>
              <w:pStyle w:val="Compact"/>
              <w:jc w:val="left"/>
            </w:pPr>
            <w:r>
              <w:t xml:space="preserve">HIPAA Privacy Rule</w:t>
            </w:r>
          </w:p>
        </w:tc>
        <w:tc>
          <w:tcPr/>
          <w:p>
            <w:pPr>
              <w:pStyle w:val="Compact"/>
              <w:jc w:val="left"/>
            </w:pPr>
            <w:r>
              <w:t xml:space="preserve">45 CFR Part 160, 164</w:t>
            </w:r>
          </w:p>
        </w:tc>
        <w:tc>
          <w:tcPr/>
          <w:p>
            <w:pPr>
              <w:pStyle w:val="Compact"/>
              <w:jc w:val="left"/>
            </w:pPr>
            <w:r>
              <w:t xml:space="preserve">Use and disclosure of PHI</w:t>
            </w:r>
          </w:p>
        </w:tc>
      </w:tr>
      <w:tr>
        <w:tc>
          <w:tcPr/>
          <w:p>
            <w:pPr>
              <w:pStyle w:val="Compact"/>
              <w:jc w:val="left"/>
            </w:pPr>
            <w:r>
              <w:t xml:space="preserve">HIPAA Security Rule</w:t>
            </w:r>
          </w:p>
        </w:tc>
        <w:tc>
          <w:tcPr/>
          <w:p>
            <w:pPr>
              <w:pStyle w:val="Compact"/>
              <w:jc w:val="left"/>
            </w:pPr>
            <w:r>
              <w:t xml:space="preserve">45 CFR §164.302-318</w:t>
            </w:r>
          </w:p>
        </w:tc>
        <w:tc>
          <w:tcPr/>
          <w:p>
            <w:pPr>
              <w:pStyle w:val="Compact"/>
              <w:jc w:val="left"/>
            </w:pPr>
            <w:r>
              <w:t xml:space="preserve">ePHI safeguards</w:t>
            </w:r>
          </w:p>
        </w:tc>
      </w:tr>
      <w:tr>
        <w:tc>
          <w:tcPr/>
          <w:p>
            <w:pPr>
              <w:pStyle w:val="Compact"/>
              <w:jc w:val="left"/>
            </w:pPr>
            <w:r>
              <w:t xml:space="preserve">HITECH Act</w:t>
            </w:r>
          </w:p>
        </w:tc>
        <w:tc>
          <w:tcPr/>
          <w:p>
            <w:pPr>
              <w:pStyle w:val="Compact"/>
              <w:jc w:val="left"/>
            </w:pPr>
            <w:r>
              <w:t xml:space="preserve">42 USC §17931-17940</w:t>
            </w:r>
          </w:p>
        </w:tc>
        <w:tc>
          <w:tcPr/>
          <w:p>
            <w:pPr>
              <w:pStyle w:val="Compact"/>
              <w:jc w:val="left"/>
            </w:pPr>
            <w:r>
              <w:t xml:space="preserve">Breach notification, enforcement</w:t>
            </w:r>
          </w:p>
        </w:tc>
      </w:tr>
      <w:tr>
        <w:tc>
          <w:tcPr/>
          <w:p>
            <w:pPr>
              <w:pStyle w:val="Compact"/>
              <w:jc w:val="left"/>
            </w:pPr>
            <w:r>
              <w:t xml:space="preserve">Omnibus Rule (2013)</w:t>
            </w:r>
          </w:p>
        </w:tc>
        <w:tc>
          <w:tcPr/>
          <w:p>
            <w:pPr>
              <w:pStyle w:val="Compact"/>
              <w:jc w:val="left"/>
            </w:pPr>
            <w:r>
              <w:t xml:space="preserve">78 FR 5566</w:t>
            </w:r>
          </w:p>
        </w:tc>
        <w:tc>
          <w:tcPr/>
          <w:p>
            <w:pPr>
              <w:pStyle w:val="Compact"/>
              <w:jc w:val="left"/>
            </w:pPr>
            <w:r>
              <w:t xml:space="preserve">BAA requirements, breach definition</w:t>
            </w:r>
          </w:p>
        </w:tc>
      </w:tr>
      <w:tr>
        <w:tc>
          <w:tcPr/>
          <w:p>
            <w:pPr>
              <w:pStyle w:val="Compact"/>
              <w:jc w:val="left"/>
            </w:pPr>
            <w:r>
              <w:t xml:space="preserve">NIST SP 800-66</w:t>
            </w:r>
          </w:p>
        </w:tc>
        <w:tc>
          <w:tcPr/>
          <w:p>
            <w:pPr>
              <w:pStyle w:val="Compact"/>
              <w:jc w:val="left"/>
            </w:pPr>
            <w:r>
              <w:t xml:space="preserve">Rev. 2</w:t>
            </w:r>
          </w:p>
        </w:tc>
        <w:tc>
          <w:tcPr/>
          <w:p>
            <w:pPr>
              <w:pStyle w:val="Compact"/>
              <w:jc w:val="left"/>
            </w:pPr>
            <w:r>
              <w:t xml:space="preserve">HIPAA Security Rule implementation guide</w:t>
            </w:r>
          </w:p>
        </w:tc>
      </w:tr>
      <w:tr>
        <w:tc>
          <w:tcPr/>
          <w:p>
            <w:pPr>
              <w:pStyle w:val="Compact"/>
              <w:jc w:val="left"/>
            </w:pPr>
            <w:r>
              <w:t xml:space="preserve">NIST SP 800-88</w:t>
            </w:r>
          </w:p>
        </w:tc>
        <w:tc>
          <w:tcPr/>
          <w:p>
            <w:pPr>
              <w:pStyle w:val="Compact"/>
              <w:jc w:val="left"/>
            </w:pPr>
            <w:r>
              <w:t xml:space="preserve">Rev. 1</w:t>
            </w:r>
          </w:p>
        </w:tc>
        <w:tc>
          <w:tcPr/>
          <w:p>
            <w:pPr>
              <w:pStyle w:val="Compact"/>
              <w:jc w:val="left"/>
            </w:pPr>
            <w:r>
              <w:t xml:space="preserve">Media sanitization guidelines</w:t>
            </w:r>
          </w:p>
        </w:tc>
      </w:tr>
      <w:tr>
        <w:tc>
          <w:tcPr/>
          <w:p>
            <w:pPr>
              <w:pStyle w:val="Compact"/>
              <w:jc w:val="left"/>
            </w:pPr>
            <w:r>
              <w:t xml:space="preserve">State Laws</w:t>
            </w:r>
          </w:p>
        </w:tc>
        <w:tc>
          <w:tcPr/>
          <w:p>
            <w:pPr>
              <w:pStyle w:val="Compact"/>
              <w:jc w:val="left"/>
            </w:pPr>
            <w:r>
              <w:t xml:space="preserve">Varies</w:t>
            </w:r>
          </w:p>
        </w:tc>
        <w:tc>
          <w:tcPr/>
          <w:p>
            <w:pPr>
              <w:pStyle w:val="Compact"/>
              <w:jc w:val="left"/>
            </w:pPr>
            <w:r>
              <w:t xml:space="preserve">State-specific breach notification</w:t>
            </w:r>
          </w:p>
        </w:tc>
      </w:tr>
    </w:tbl>
    <w:p>
      <w:r>
        <w:pict>
          <v:rect style="width:0;height:1.5pt" o:hralign="center" o:hrstd="t" o:hr="t"/>
        </w:pict>
      </w:r>
    </w:p>
    <w:bookmarkEnd w:id="61"/>
    <w:bookmarkStart w:id="62" w:name="approval-and-sign-off"/>
    <w:p>
      <w:pPr>
        <w:pStyle w:val="Heading2"/>
      </w:pPr>
      <w:r>
        <w:t xml:space="preserve">10. Approval and Sign-Off</w:t>
      </w:r>
    </w:p>
    <w:tbl>
      <w:tblPr>
        <w:tblStyle w:val="Table"/>
        <w:tblW w:type="pct" w:w="5000"/>
        <w:tblLook w:firstRow="1" w:lastRow="0" w:firstColumn="0" w:lastColumn="0" w:noHBand="0" w:noVBand="0" w:val="0020"/>
        <w:jc w:val="start"/>
      </w:tblPr>
      <w:tblGrid>
        <w:gridCol w:w="3099"/>
        <w:gridCol w:w="1951"/>
        <w:gridCol w:w="1492"/>
        <w:gridCol w:w="1377"/>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Signature</w:t>
            </w:r>
          </w:p>
        </w:tc>
        <w:tc>
          <w:tcPr/>
          <w:p>
            <w:pPr>
              <w:pStyle w:val="Compact"/>
              <w:jc w:val="left"/>
            </w:pPr>
            <w:r>
              <w:t xml:space="preserve">Date</w:t>
            </w:r>
          </w:p>
        </w:tc>
      </w:tr>
      <w:tr>
        <w:tc>
          <w:tcPr/>
          <w:p>
            <w:pPr>
              <w:pStyle w:val="Compact"/>
              <w:jc w:val="left"/>
            </w:pPr>
            <w:r>
              <w:t xml:space="preserve">Chief Compliance Officer</w:t>
            </w:r>
          </w:p>
        </w:tc>
        <w:tc>
          <w:tcPr/>
          <w:p>
            <w:pPr>
              <w:pStyle w:val="Compact"/>
              <w:jc w:val="left"/>
            </w:pPr>
            <w:r>
              <w:t xml:space="preserve">Dr. Sarah Kim</w:t>
            </w:r>
          </w:p>
        </w:tc>
        <w:tc>
          <w:tcPr/>
          <w:p>
            <w:pPr>
              <w:pStyle w:val="Compact"/>
              <w:jc w:val="left"/>
            </w:pPr>
            <w:r>
              <w:rPr>
                <w:iCs/>
                <w:i/>
              </w:rPr>
              <w:t xml:space="preserve">Signed</w:t>
            </w:r>
          </w:p>
        </w:tc>
        <w:tc>
          <w:tcPr/>
          <w:p>
            <w:pPr>
              <w:pStyle w:val="Compact"/>
              <w:jc w:val="left"/>
            </w:pPr>
            <w:r>
              <w:t xml:space="preserve">2025-09-01</w:t>
            </w:r>
          </w:p>
        </w:tc>
      </w:tr>
      <w:tr>
        <w:tc>
          <w:tcPr/>
          <w:p>
            <w:pPr>
              <w:pStyle w:val="Compact"/>
              <w:jc w:val="left"/>
            </w:pPr>
            <w:r>
              <w:t xml:space="preserve">HIPAA Security Officer</w:t>
            </w:r>
          </w:p>
        </w:tc>
        <w:tc>
          <w:tcPr/>
          <w:p>
            <w:pPr>
              <w:pStyle w:val="Compact"/>
              <w:jc w:val="left"/>
            </w:pPr>
            <w:r>
              <w:t xml:space="preserve">Michael Chen</w:t>
            </w:r>
          </w:p>
        </w:tc>
        <w:tc>
          <w:tcPr/>
          <w:p>
            <w:pPr>
              <w:pStyle w:val="Compact"/>
              <w:jc w:val="left"/>
            </w:pPr>
            <w:r>
              <w:rPr>
                <w:iCs/>
                <w:i/>
              </w:rPr>
              <w:t xml:space="preserve">Signed</w:t>
            </w:r>
          </w:p>
        </w:tc>
        <w:tc>
          <w:tcPr/>
          <w:p>
            <w:pPr>
              <w:pStyle w:val="Compact"/>
              <w:jc w:val="left"/>
            </w:pPr>
            <w:r>
              <w:t xml:space="preserve">2025-09-01</w:t>
            </w:r>
          </w:p>
        </w:tc>
      </w:tr>
      <w:tr>
        <w:tc>
          <w:tcPr/>
          <w:p>
            <w:pPr>
              <w:pStyle w:val="Compact"/>
              <w:jc w:val="left"/>
            </w:pPr>
            <w:r>
              <w:t xml:space="preserve">Chief Information Officer</w:t>
            </w:r>
          </w:p>
        </w:tc>
        <w:tc>
          <w:tcPr/>
          <w:p>
            <w:pPr>
              <w:pStyle w:val="Compact"/>
              <w:jc w:val="left"/>
            </w:pPr>
            <w:r>
              <w:t xml:space="preserve">Robert Williams</w:t>
            </w:r>
          </w:p>
        </w:tc>
        <w:tc>
          <w:tcPr/>
          <w:p>
            <w:pPr>
              <w:pStyle w:val="Compact"/>
              <w:jc w:val="left"/>
            </w:pPr>
            <w:r>
              <w:rPr>
                <w:iCs/>
                <w:i/>
              </w:rPr>
              <w:t xml:space="preserve">Signed</w:t>
            </w:r>
          </w:p>
        </w:tc>
        <w:tc>
          <w:tcPr/>
          <w:p>
            <w:pPr>
              <w:pStyle w:val="Compact"/>
              <w:jc w:val="left"/>
            </w:pPr>
            <w:r>
              <w:t xml:space="preserve">2025-09-01</w:t>
            </w:r>
          </w:p>
        </w:tc>
      </w:tr>
      <w:tr>
        <w:tc>
          <w:tcPr/>
          <w:p>
            <w:pPr>
              <w:pStyle w:val="Compact"/>
              <w:jc w:val="left"/>
            </w:pPr>
            <w:r>
              <w:t xml:space="preserve">Legal Counsel</w:t>
            </w:r>
          </w:p>
        </w:tc>
        <w:tc>
          <w:tcPr/>
          <w:p>
            <w:pPr>
              <w:pStyle w:val="Compact"/>
              <w:jc w:val="left"/>
            </w:pPr>
            <w:r>
              <w:t xml:space="preserve">Patricia Gomez</w:t>
            </w:r>
          </w:p>
        </w:tc>
        <w:tc>
          <w:tcPr/>
          <w:p>
            <w:pPr>
              <w:pStyle w:val="Compact"/>
              <w:jc w:val="left"/>
            </w:pPr>
            <w:r>
              <w:rPr>
                <w:iCs/>
                <w:i/>
              </w:rPr>
              <w:t xml:space="preserve">Signed</w:t>
            </w:r>
          </w:p>
        </w:tc>
        <w:tc>
          <w:tcPr/>
          <w:p>
            <w:pPr>
              <w:pStyle w:val="Compact"/>
              <w:jc w:val="left"/>
            </w:pPr>
            <w:r>
              <w:t xml:space="preserve">2025-09-01</w:t>
            </w:r>
          </w:p>
        </w:tc>
      </w:tr>
      <w:tr>
        <w:tc>
          <w:tcPr/>
          <w:p>
            <w:pPr>
              <w:pStyle w:val="Compact"/>
              <w:jc w:val="left"/>
            </w:pPr>
            <w:r>
              <w:t xml:space="preserve">Practice Director</w:t>
            </w:r>
          </w:p>
        </w:tc>
        <w:tc>
          <w:tcPr/>
          <w:p>
            <w:pPr>
              <w:pStyle w:val="Compact"/>
              <w:jc w:val="left"/>
            </w:pPr>
            <w:r>
              <w:t xml:space="preserve">Dr. Alan Brooks</w:t>
            </w:r>
          </w:p>
        </w:tc>
        <w:tc>
          <w:tcPr/>
          <w:p>
            <w:pPr>
              <w:pStyle w:val="Compact"/>
              <w:jc w:val="left"/>
            </w:pPr>
            <w:r>
              <w:rPr>
                <w:iCs/>
                <w:i/>
              </w:rPr>
              <w:t xml:space="preserve">Signed</w:t>
            </w:r>
          </w:p>
        </w:tc>
        <w:tc>
          <w:tcPr/>
          <w:p>
            <w:pPr>
              <w:pStyle w:val="Compact"/>
              <w:jc w:val="left"/>
            </w:pPr>
            <w:r>
              <w:t xml:space="preserve">2025-09-01</w:t>
            </w:r>
          </w:p>
        </w:tc>
      </w:tr>
    </w:tbl>
    <w:p>
      <w:r>
        <w:pict>
          <v:rect style="width:0;height:1.5pt" o:hralign="center" o:hrstd="t" o:hr="t"/>
        </w:pict>
      </w:r>
    </w:p>
    <w:p>
      <w:pPr>
        <w:pStyle w:val="FirstParagraph"/>
      </w:pPr>
      <w:r>
        <w:rPr>
          <w:iCs/>
          <w:i/>
        </w:rPr>
        <w:t xml:space="preserve">This document is confidential and intended for internal use only. Unauthorized distribution is prohibited. For questions, contact the Compliance Office at compliance@dentalcarepro.com or extension 4500.</w:t>
      </w:r>
    </w:p>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migration/Java_Spring_Boot_Migration_Guidelines.md" TargetMode="External" /><Relationship Type="http://schemas.openxmlformats.org/officeDocument/2006/relationships/hyperlink" Id="rId59" Target="../technical/Legacy_Known_Issues_and_Tech_Debt.md" TargetMode="External" /><Relationship Type="http://schemas.openxmlformats.org/officeDocument/2006/relationships/hyperlink" Id="rId26" Target="./Access_Control_Policy.md" TargetMode="External" /><Relationship Type="http://schemas.openxmlformats.org/officeDocument/2006/relationships/hyperlink" Id="rId42" Target="./Audit_Trail_Requirements.md" TargetMode="External" /><Relationship Type="http://schemas.openxmlformats.org/officeDocument/2006/relationships/hyperlink" Id="rId29" Target="./Breach_Notification_Procedures.md" TargetMode="External" /><Relationship Type="http://schemas.openxmlformats.org/officeDocument/2006/relationships/hyperlink" Id="rId56" Target="./Data_Retention_and_Disposal_Policy.md" TargetMode="External" /><Relationship Type="http://schemas.openxmlformats.org/officeDocument/2006/relationships/hyperlink" Id="rId21" Target="./HIPAA_Security_Rule_Requirements.md" TargetMode="External" /></Relationships>
</file>

<file path=word/_rels/footnotes.xml.rels><?xml version="1.0" encoding="UTF-8"?><Relationships xmlns="http://schemas.openxmlformats.org/package/2006/relationships"><Relationship Type="http://schemas.openxmlformats.org/officeDocument/2006/relationships/hyperlink" Id="rId40" Target="../migration/Java_Spring_Boot_Migration_Guidelines.md" TargetMode="External" /><Relationship Type="http://schemas.openxmlformats.org/officeDocument/2006/relationships/hyperlink" Id="rId59" Target="../technical/Legacy_Known_Issues_and_Tech_Debt.md" TargetMode="External" /><Relationship Type="http://schemas.openxmlformats.org/officeDocument/2006/relationships/hyperlink" Id="rId26" Target="./Access_Control_Policy.md" TargetMode="External" /><Relationship Type="http://schemas.openxmlformats.org/officeDocument/2006/relationships/hyperlink" Id="rId42" Target="./Audit_Trail_Requirements.md" TargetMode="External" /><Relationship Type="http://schemas.openxmlformats.org/officeDocument/2006/relationships/hyperlink" Id="rId29" Target="./Breach_Notification_Procedures.md" TargetMode="External" /><Relationship Type="http://schemas.openxmlformats.org/officeDocument/2006/relationships/hyperlink" Id="rId56" Target="./Data_Retention_and_Disposal_Policy.md" TargetMode="External" /><Relationship Type="http://schemas.openxmlformats.org/officeDocument/2006/relationships/hyperlink" Id="rId21" Target="./HIPAA_Security_Rule_Requirements.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2026-03-12T08:18:54Z</dcterms:created>
  <dcterms:modified xsi:type="dcterms:W3CDTF">2026-03-12T08:18:54Z</dcterms:modified>
</cp:coreProperties>
</file>

<file path=docProps/custom.xml><?xml version="1.0" encoding="utf-8"?>
<Properties xmlns="http://schemas.openxmlformats.org/officeDocument/2006/custom-properties" xmlns:vt="http://schemas.openxmlformats.org/officeDocument/2006/docPropsVTypes"/>
</file>