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4" w:name="Xafccb2e40d16281b8a34ca67579062cb2f7523e"/>
    <w:p>
      <w:pPr>
        <w:pStyle w:val="Heading1"/>
      </w:pPr>
      <w:r>
        <w:t xml:space="preserve">Dental Clinic Business Rules — DentalCare Pro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BUS-RUL-001</w:t>
            </w:r>
          </w:p>
        </w:tc>
      </w:tr>
      <w:tr>
        <w:tc>
          <w:tcPr/>
          <w:p>
            <w:pPr>
              <w:pStyle w:val="Compact"/>
              <w:jc w:val="left"/>
            </w:pPr>
            <w:r>
              <w:rPr>
                <w:bCs/>
                <w:b/>
              </w:rPr>
              <w:t xml:space="preserve">Version</w:t>
            </w:r>
          </w:p>
        </w:tc>
        <w:tc>
          <w:tcPr/>
          <w:p>
            <w:pPr>
              <w:pStyle w:val="Compact"/>
              <w:jc w:val="left"/>
            </w:pPr>
            <w:r>
              <w:t xml:space="preserve">3.1</w:t>
            </w:r>
          </w:p>
        </w:tc>
      </w:tr>
      <w:tr>
        <w:tc>
          <w:tcPr/>
          <w:p>
            <w:pPr>
              <w:pStyle w:val="Compact"/>
              <w:jc w:val="left"/>
            </w:pPr>
            <w:r>
              <w:rPr>
                <w:bCs/>
                <w:b/>
              </w:rPr>
              <w:t xml:space="preserve">Effective Date</w:t>
            </w:r>
          </w:p>
        </w:tc>
        <w:tc>
          <w:tcPr/>
          <w:p>
            <w:pPr>
              <w:pStyle w:val="Compact"/>
              <w:jc w:val="left"/>
            </w:pPr>
            <w:r>
              <w:t xml:space="preserve">2025-09-01</w:t>
            </w:r>
          </w:p>
        </w:tc>
      </w:tr>
      <w:tr>
        <w:tc>
          <w:tcPr/>
          <w:p>
            <w:pPr>
              <w:pStyle w:val="Compact"/>
              <w:jc w:val="left"/>
            </w:pPr>
            <w:r>
              <w:rPr>
                <w:bCs/>
                <w:b/>
              </w:rPr>
              <w:t xml:space="preserve">Review Date</w:t>
            </w:r>
          </w:p>
        </w:tc>
        <w:tc>
          <w:tcPr/>
          <w:p>
            <w:pPr>
              <w:pStyle w:val="Compact"/>
              <w:jc w:val="left"/>
            </w:pPr>
            <w:r>
              <w:t xml:space="preserve">2026-03-01</w:t>
            </w:r>
          </w:p>
        </w:tc>
      </w:tr>
      <w:tr>
        <w:tc>
          <w:tcPr/>
          <w:p>
            <w:pPr>
              <w:pStyle w:val="Compact"/>
              <w:jc w:val="left"/>
            </w:pPr>
            <w:r>
              <w:rPr>
                <w:bCs/>
                <w:b/>
              </w:rPr>
              <w:t xml:space="preserve">Owner</w:t>
            </w:r>
          </w:p>
        </w:tc>
        <w:tc>
          <w:tcPr/>
          <w:p>
            <w:pPr>
              <w:pStyle w:val="Compact"/>
              <w:jc w:val="left"/>
            </w:pPr>
            <w:r>
              <w:t xml:space="preserve">Dr. Alan Brooks — Practice Director</w:t>
            </w:r>
          </w:p>
        </w:tc>
      </w:tr>
      <w:tr>
        <w:tc>
          <w:tcPr/>
          <w:p>
            <w:pPr>
              <w:pStyle w:val="Compact"/>
              <w:jc w:val="left"/>
            </w:pPr>
            <w:r>
              <w:rPr>
                <w:bCs/>
                <w:b/>
              </w:rPr>
              <w:t xml:space="preserve">Classification</w:t>
            </w:r>
          </w:p>
        </w:tc>
        <w:tc>
          <w:tcPr/>
          <w:p>
            <w:pPr>
              <w:pStyle w:val="Compact"/>
              <w:jc w:val="left"/>
            </w:pPr>
            <w:r>
              <w:t xml:space="preserve">Internal — Confidential</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38"/>
        <w:gridCol w:w="1118"/>
        <w:gridCol w:w="1584"/>
        <w:gridCol w:w="4379"/>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2020-01-15</w:t>
            </w:r>
          </w:p>
        </w:tc>
        <w:tc>
          <w:tcPr/>
          <w:p>
            <w:pPr>
              <w:pStyle w:val="Compact"/>
              <w:jc w:val="left"/>
            </w:pPr>
            <w:r>
              <w:t xml:space="preserve">Dr. Alan Brooks</w:t>
            </w:r>
          </w:p>
        </w:tc>
        <w:tc>
          <w:tcPr/>
          <w:p>
            <w:pPr>
              <w:pStyle w:val="Compact"/>
              <w:jc w:val="left"/>
            </w:pPr>
            <w:r>
              <w:t xml:space="preserve">Initial business rules documentation</w:t>
            </w:r>
          </w:p>
        </w:tc>
      </w:tr>
      <w:tr>
        <w:tc>
          <w:tcPr/>
          <w:p>
            <w:pPr>
              <w:pStyle w:val="Compact"/>
              <w:jc w:val="left"/>
            </w:pPr>
            <w:r>
              <w:t xml:space="preserve">2.0</w:t>
            </w:r>
          </w:p>
        </w:tc>
        <w:tc>
          <w:tcPr/>
          <w:p>
            <w:pPr>
              <w:pStyle w:val="Compact"/>
              <w:jc w:val="left"/>
            </w:pPr>
            <w:r>
              <w:t xml:space="preserve">2023-06-01</w:t>
            </w:r>
          </w:p>
        </w:tc>
        <w:tc>
          <w:tcPr/>
          <w:p>
            <w:pPr>
              <w:pStyle w:val="Compact"/>
              <w:jc w:val="left"/>
            </w:pPr>
            <w:r>
              <w:t xml:space="preserve">Dr. Alan Brooks</w:t>
            </w:r>
          </w:p>
        </w:tc>
        <w:tc>
          <w:tcPr/>
          <w:p>
            <w:pPr>
              <w:pStyle w:val="Compact"/>
              <w:jc w:val="left"/>
            </w:pPr>
            <w:r>
              <w:t xml:space="preserve">Major revision for multi-location operations</w:t>
            </w:r>
          </w:p>
        </w:tc>
      </w:tr>
      <w:tr>
        <w:tc>
          <w:tcPr/>
          <w:p>
            <w:pPr>
              <w:pStyle w:val="Compact"/>
              <w:jc w:val="left"/>
            </w:pPr>
            <w:r>
              <w:t xml:space="preserve">2.1</w:t>
            </w:r>
          </w:p>
        </w:tc>
        <w:tc>
          <w:tcPr/>
          <w:p>
            <w:pPr>
              <w:pStyle w:val="Compact"/>
              <w:jc w:val="left"/>
            </w:pPr>
            <w:r>
              <w:t xml:space="preserve">2024-01-15</w:t>
            </w:r>
          </w:p>
        </w:tc>
        <w:tc>
          <w:tcPr/>
          <w:p>
            <w:pPr>
              <w:pStyle w:val="Compact"/>
              <w:jc w:val="left"/>
            </w:pPr>
            <w:r>
              <w:t xml:space="preserve">Karen Mitchell</w:t>
            </w:r>
          </w:p>
        </w:tc>
        <w:tc>
          <w:tcPr/>
          <w:p>
            <w:pPr>
              <w:pStyle w:val="Compact"/>
              <w:jc w:val="left"/>
            </w:pPr>
            <w:r>
              <w:t xml:space="preserve">Updated insurance and billing rules</w:t>
            </w:r>
          </w:p>
        </w:tc>
      </w:tr>
      <w:tr>
        <w:tc>
          <w:tcPr/>
          <w:p>
            <w:pPr>
              <w:pStyle w:val="Compact"/>
              <w:jc w:val="left"/>
            </w:pPr>
            <w:r>
              <w:t xml:space="preserve">3.0</w:t>
            </w:r>
          </w:p>
        </w:tc>
        <w:tc>
          <w:tcPr/>
          <w:p>
            <w:pPr>
              <w:pStyle w:val="Compact"/>
              <w:jc w:val="left"/>
            </w:pPr>
            <w:r>
              <w:t xml:space="preserve">2025-03-01</w:t>
            </w:r>
          </w:p>
        </w:tc>
        <w:tc>
          <w:tcPr/>
          <w:p>
            <w:pPr>
              <w:pStyle w:val="Compact"/>
              <w:jc w:val="left"/>
            </w:pPr>
            <w:r>
              <w:t xml:space="preserve">Dr. Alan Brooks</w:t>
            </w:r>
          </w:p>
        </w:tc>
        <w:tc>
          <w:tcPr/>
          <w:p>
            <w:pPr>
              <w:pStyle w:val="Compact"/>
              <w:jc w:val="left"/>
            </w:pPr>
            <w:r>
              <w:t xml:space="preserve">Rules formalized for system migration</w:t>
            </w:r>
          </w:p>
        </w:tc>
      </w:tr>
      <w:tr>
        <w:tc>
          <w:tcPr/>
          <w:p>
            <w:pPr>
              <w:pStyle w:val="Compact"/>
              <w:jc w:val="left"/>
            </w:pPr>
            <w:r>
              <w:t xml:space="preserve">3.1</w:t>
            </w:r>
          </w:p>
        </w:tc>
        <w:tc>
          <w:tcPr/>
          <w:p>
            <w:pPr>
              <w:pStyle w:val="Compact"/>
              <w:jc w:val="left"/>
            </w:pPr>
            <w:r>
              <w:t xml:space="preserve">2025-09-01</w:t>
            </w:r>
          </w:p>
        </w:tc>
        <w:tc>
          <w:tcPr/>
          <w:p>
            <w:pPr>
              <w:pStyle w:val="Compact"/>
              <w:jc w:val="left"/>
            </w:pPr>
            <w:r>
              <w:t xml:space="preserve">Dr. Alan Brooks</w:t>
            </w:r>
          </w:p>
        </w:tc>
        <w:tc>
          <w:tcPr/>
          <w:p>
            <w:pPr>
              <w:pStyle w:val="Compact"/>
              <w:jc w:val="left"/>
            </w:pPr>
            <w:r>
              <w:t xml:space="preserve">Added telehealth and digital workflow rules</w:t>
            </w:r>
          </w:p>
        </w:tc>
      </w:tr>
    </w:tbl>
    <w:p>
      <w:r>
        <w:pict>
          <v:rect style="width:0;height:1.5pt" o:hralign="center" o:hrstd="t" o:hr="t"/>
        </w:pict>
      </w:r>
    </w:p>
    <w:bookmarkEnd w:id="20"/>
    <w:bookmarkStart w:id="23" w:name="purpose"/>
    <w:p>
      <w:pPr>
        <w:pStyle w:val="Heading2"/>
      </w:pPr>
      <w:r>
        <w:t xml:space="preserve">1. Purpose</w:t>
      </w:r>
    </w:p>
    <w:p>
      <w:pPr>
        <w:pStyle w:val="FirstParagraph"/>
      </w:pPr>
      <w:r>
        <w:t xml:space="preserve">This document captures the core business rules governing DentalCare Pro dental clinic operations. These rules must be accurately implemented in the new Spring Boot system during migration. Each rule has been validated by clinical staff, billing department, and practice management.</w:t>
      </w:r>
    </w:p>
    <w:p>
      <w:pPr>
        <w:pStyle w:val="BodyText"/>
      </w:pPr>
      <w:r>
        <w:t xml:space="preserve">For scheduling-specific rules, see</w:t>
      </w:r>
      <w:r>
        <w:t xml:space="preserve"> </w:t>
      </w:r>
      <w:hyperlink r:id="rId21">
        <w:r>
          <w:rPr>
            <w:rStyle w:val="Hyperlink"/>
          </w:rPr>
          <w:t xml:space="preserve">Appointment_Scheduling_Policy.md</w:t>
        </w:r>
      </w:hyperlink>
      <w:r>
        <w:t xml:space="preserve">.</w:t>
      </w:r>
      <w:r>
        <w:t xml:space="preserve"> </w:t>
      </w:r>
      <w:r>
        <w:t xml:space="preserve">For billing-specific rules, see</w:t>
      </w:r>
      <w:r>
        <w:t xml:space="preserve"> </w:t>
      </w:r>
      <w:hyperlink r:id="rId22">
        <w:r>
          <w:rPr>
            <w:rStyle w:val="Hyperlink"/>
          </w:rPr>
          <w:t xml:space="preserve">Billing_and_Insurance_Procedures.md</w:t>
        </w:r>
      </w:hyperlink>
      <w:r>
        <w:t xml:space="preserve">.</w:t>
      </w:r>
    </w:p>
    <w:p>
      <w:r>
        <w:pict>
          <v:rect style="width:0;height:1.5pt" o:hralign="center" o:hrstd="t" o:hr="t"/>
        </w:pict>
      </w:r>
    </w:p>
    <w:bookmarkEnd w:id="23"/>
    <w:bookmarkStart w:id="27" w:name="patient-management-rules"/>
    <w:p>
      <w:pPr>
        <w:pStyle w:val="Heading2"/>
      </w:pPr>
      <w:r>
        <w:t xml:space="preserve">2. Patient Management Rules</w:t>
      </w:r>
    </w:p>
    <w:bookmarkStart w:id="24" w:name="patient-registration"/>
    <w:p>
      <w:pPr>
        <w:pStyle w:val="Heading3"/>
      </w:pPr>
      <w:r>
        <w:t xml:space="preserve">2.1 Patient Registration</w:t>
      </w:r>
    </w:p>
    <w:tbl>
      <w:tblPr>
        <w:tblStyle w:val="Table"/>
        <w:tblW w:type="pct" w:w="5000"/>
        <w:tblLook w:firstRow="1" w:lastRow="0" w:firstColumn="0" w:lastColumn="0" w:noHBand="0" w:noVBand="0" w:val="0020"/>
        <w:jc w:val="start"/>
      </w:tblPr>
      <w:tblGrid>
        <w:gridCol w:w="747"/>
        <w:gridCol w:w="5155"/>
        <w:gridCol w:w="747"/>
        <w:gridCol w:w="1270"/>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c>
          <w:tcPr/>
          <w:p>
            <w:pPr>
              <w:pStyle w:val="Compact"/>
              <w:jc w:val="left"/>
            </w:pPr>
            <w:r>
              <w:t xml:space="preserve">Enforced By</w:t>
            </w:r>
          </w:p>
        </w:tc>
      </w:tr>
      <w:tr>
        <w:tc>
          <w:tcPr/>
          <w:p>
            <w:pPr>
              <w:pStyle w:val="Compact"/>
              <w:jc w:val="left"/>
            </w:pPr>
            <w:r>
              <w:t xml:space="preserve">PAT-001</w:t>
            </w:r>
          </w:p>
        </w:tc>
        <w:tc>
          <w:tcPr/>
          <w:p>
            <w:pPr>
              <w:pStyle w:val="Compact"/>
              <w:jc w:val="left"/>
            </w:pPr>
            <w:r>
              <w:t xml:space="preserve">Every patient must have a unique Medical Record Number (MRN)</w:t>
            </w:r>
          </w:p>
        </w:tc>
        <w:tc>
          <w:tcPr/>
          <w:p>
            <w:pPr>
              <w:pStyle w:val="Compact"/>
              <w:jc w:val="left"/>
            </w:pPr>
            <w:r>
              <w:t xml:space="preserve">Critical</w:t>
            </w:r>
          </w:p>
        </w:tc>
        <w:tc>
          <w:tcPr/>
          <w:p>
            <w:pPr>
              <w:pStyle w:val="Compact"/>
              <w:jc w:val="left"/>
            </w:pPr>
            <w:r>
              <w:t xml:space="preserve">System (auto-gen)</w:t>
            </w:r>
          </w:p>
        </w:tc>
      </w:tr>
      <w:tr>
        <w:tc>
          <w:tcPr/>
          <w:p>
            <w:pPr>
              <w:pStyle w:val="Compact"/>
              <w:jc w:val="left"/>
            </w:pPr>
            <w:r>
              <w:t xml:space="preserve">PAT-002</w:t>
            </w:r>
          </w:p>
        </w:tc>
        <w:tc>
          <w:tcPr/>
          <w:p>
            <w:pPr>
              <w:pStyle w:val="Compact"/>
              <w:jc w:val="left"/>
            </w:pPr>
            <w:r>
              <w:t xml:space="preserve">MRN format:</w:t>
            </w:r>
            <w:r>
              <w:t xml:space="preserve"> </w:t>
            </w:r>
            <w:r>
              <w:rPr>
                <w:rStyle w:val="VerbatimChar"/>
              </w:rPr>
              <w:t xml:space="preserve">DCPnnnnnnn</w:t>
            </w:r>
            <w:r>
              <w:t xml:space="preserve"> </w:t>
            </w:r>
            <w:r>
              <w:t xml:space="preserve">(DCP + 7-digit sequential number)</w:t>
            </w:r>
          </w:p>
        </w:tc>
        <w:tc>
          <w:tcPr/>
          <w:p>
            <w:pPr>
              <w:pStyle w:val="Compact"/>
              <w:jc w:val="left"/>
            </w:pPr>
            <w:r>
              <w:t xml:space="preserve">Critical</w:t>
            </w:r>
          </w:p>
        </w:tc>
        <w:tc>
          <w:tcPr/>
          <w:p>
            <w:pPr>
              <w:pStyle w:val="Compact"/>
              <w:jc w:val="left"/>
            </w:pPr>
            <w:r>
              <w:t xml:space="preserve">System</w:t>
            </w:r>
          </w:p>
        </w:tc>
      </w:tr>
      <w:tr>
        <w:tc>
          <w:tcPr/>
          <w:p>
            <w:pPr>
              <w:pStyle w:val="Compact"/>
              <w:jc w:val="left"/>
            </w:pPr>
            <w:r>
              <w:t xml:space="preserve">PAT-003</w:t>
            </w:r>
          </w:p>
        </w:tc>
        <w:tc>
          <w:tcPr/>
          <w:p>
            <w:pPr>
              <w:pStyle w:val="Compact"/>
              <w:jc w:val="left"/>
            </w:pPr>
            <w:r>
              <w:t xml:space="preserve">Patient must provide government-issued photo ID at first visit</w:t>
            </w:r>
          </w:p>
        </w:tc>
        <w:tc>
          <w:tcPr/>
          <w:p>
            <w:pPr>
              <w:pStyle w:val="Compact"/>
              <w:jc w:val="left"/>
            </w:pPr>
            <w:r>
              <w:t xml:space="preserve">High</w:t>
            </w:r>
          </w:p>
        </w:tc>
        <w:tc>
          <w:tcPr/>
          <w:p>
            <w:pPr>
              <w:pStyle w:val="Compact"/>
              <w:jc w:val="left"/>
            </w:pPr>
            <w:r>
              <w:t xml:space="preserve">Front desk (manual)</w:t>
            </w:r>
          </w:p>
        </w:tc>
      </w:tr>
      <w:tr>
        <w:tc>
          <w:tcPr/>
          <w:p>
            <w:pPr>
              <w:pStyle w:val="Compact"/>
              <w:jc w:val="left"/>
            </w:pPr>
            <w:r>
              <w:t xml:space="preserve">PAT-004</w:t>
            </w:r>
          </w:p>
        </w:tc>
        <w:tc>
          <w:tcPr/>
          <w:p>
            <w:pPr>
              <w:pStyle w:val="Compact"/>
              <w:jc w:val="left"/>
            </w:pPr>
            <w:r>
              <w:t xml:space="preserve">Patients under 18 must have a responsible party (parent/guardian)</w:t>
            </w:r>
          </w:p>
        </w:tc>
        <w:tc>
          <w:tcPr/>
          <w:p>
            <w:pPr>
              <w:pStyle w:val="Compact"/>
              <w:jc w:val="left"/>
            </w:pPr>
            <w:r>
              <w:t xml:space="preserve">Critical</w:t>
            </w:r>
          </w:p>
        </w:tc>
        <w:tc>
          <w:tcPr/>
          <w:p>
            <w:pPr>
              <w:pStyle w:val="Compact"/>
              <w:jc w:val="left"/>
            </w:pPr>
            <w:r>
              <w:t xml:space="preserve">System</w:t>
            </w:r>
          </w:p>
        </w:tc>
      </w:tr>
      <w:tr>
        <w:tc>
          <w:tcPr/>
          <w:p>
            <w:pPr>
              <w:pStyle w:val="Compact"/>
              <w:jc w:val="left"/>
            </w:pPr>
            <w:r>
              <w:t xml:space="preserve">PAT-005</w:t>
            </w:r>
          </w:p>
        </w:tc>
        <w:tc>
          <w:tcPr/>
          <w:p>
            <w:pPr>
              <w:pStyle w:val="Compact"/>
              <w:jc w:val="left"/>
            </w:pPr>
            <w:r>
              <w:t xml:space="preserve">Responsible party must sign financial responsibility agreement</w:t>
            </w:r>
          </w:p>
        </w:tc>
        <w:tc>
          <w:tcPr/>
          <w:p>
            <w:pPr>
              <w:pStyle w:val="Compact"/>
              <w:jc w:val="left"/>
            </w:pPr>
            <w:r>
              <w:t xml:space="preserve">High</w:t>
            </w:r>
          </w:p>
        </w:tc>
        <w:tc>
          <w:tcPr/>
          <w:p>
            <w:pPr>
              <w:pStyle w:val="Compact"/>
              <w:jc w:val="left"/>
            </w:pPr>
            <w:r>
              <w:t xml:space="preserve">Front desk</w:t>
            </w:r>
          </w:p>
        </w:tc>
      </w:tr>
      <w:tr>
        <w:tc>
          <w:tcPr/>
          <w:p>
            <w:pPr>
              <w:pStyle w:val="Compact"/>
              <w:jc w:val="left"/>
            </w:pPr>
            <w:r>
              <w:t xml:space="preserve">PAT-006</w:t>
            </w:r>
          </w:p>
        </w:tc>
        <w:tc>
          <w:tcPr/>
          <w:p>
            <w:pPr>
              <w:pStyle w:val="Compact"/>
              <w:jc w:val="left"/>
            </w:pPr>
            <w:r>
              <w:t xml:space="preserve">Duplicate patients flagged when last name + DOB match existing record</w:t>
            </w:r>
          </w:p>
        </w:tc>
        <w:tc>
          <w:tcPr/>
          <w:p>
            <w:pPr>
              <w:pStyle w:val="Compact"/>
              <w:jc w:val="left"/>
            </w:pPr>
            <w:r>
              <w:t xml:space="preserve">High</w:t>
            </w:r>
          </w:p>
        </w:tc>
        <w:tc>
          <w:tcPr/>
          <w:p>
            <w:pPr>
              <w:pStyle w:val="Compact"/>
              <w:jc w:val="left"/>
            </w:pPr>
            <w:r>
              <w:t xml:space="preserve">System</w:t>
            </w:r>
          </w:p>
        </w:tc>
      </w:tr>
      <w:tr>
        <w:tc>
          <w:tcPr/>
          <w:p>
            <w:pPr>
              <w:pStyle w:val="Compact"/>
              <w:jc w:val="left"/>
            </w:pPr>
            <w:r>
              <w:t xml:space="preserve">PAT-007</w:t>
            </w:r>
          </w:p>
        </w:tc>
        <w:tc>
          <w:tcPr/>
          <w:p>
            <w:pPr>
              <w:pStyle w:val="Compact"/>
              <w:jc w:val="left"/>
            </w:pPr>
            <w:r>
              <w:t xml:space="preserve">Patient records can never be hard-deleted; only deactivated</w:t>
            </w:r>
          </w:p>
        </w:tc>
        <w:tc>
          <w:tcPr/>
          <w:p>
            <w:pPr>
              <w:pStyle w:val="Compact"/>
              <w:jc w:val="left"/>
            </w:pPr>
            <w:r>
              <w:t xml:space="preserve">Critical</w:t>
            </w:r>
          </w:p>
        </w:tc>
        <w:tc>
          <w:tcPr/>
          <w:p>
            <w:pPr>
              <w:pStyle w:val="Compact"/>
              <w:jc w:val="left"/>
            </w:pPr>
            <w:r>
              <w:t xml:space="preserve">System + Policy</w:t>
            </w:r>
          </w:p>
        </w:tc>
      </w:tr>
      <w:tr>
        <w:tc>
          <w:tcPr/>
          <w:p>
            <w:pPr>
              <w:pStyle w:val="Compact"/>
              <w:jc w:val="left"/>
            </w:pPr>
            <w:r>
              <w:t xml:space="preserve">PAT-008</w:t>
            </w:r>
          </w:p>
        </w:tc>
        <w:tc>
          <w:tcPr/>
          <w:p>
            <w:pPr>
              <w:pStyle w:val="Compact"/>
              <w:jc w:val="left"/>
            </w:pPr>
            <w:r>
              <w:t xml:space="preserve">Inactive patients: no visit in 36+ months → status set to INACTIVE</w:t>
            </w:r>
          </w:p>
        </w:tc>
        <w:tc>
          <w:tcPr/>
          <w:p>
            <w:pPr>
              <w:pStyle w:val="Compact"/>
              <w:jc w:val="left"/>
            </w:pPr>
            <w:r>
              <w:t xml:space="preserve">Medium</w:t>
            </w:r>
          </w:p>
        </w:tc>
        <w:tc>
          <w:tcPr/>
          <w:p>
            <w:pPr>
              <w:pStyle w:val="Compact"/>
              <w:jc w:val="left"/>
            </w:pPr>
            <w:r>
              <w:t xml:space="preserve">System (nightly batch)</w:t>
            </w:r>
          </w:p>
        </w:tc>
      </w:tr>
      <w:tr>
        <w:tc>
          <w:tcPr/>
          <w:p>
            <w:pPr>
              <w:pStyle w:val="Compact"/>
              <w:jc w:val="left"/>
            </w:pPr>
            <w:r>
              <w:t xml:space="preserve">PAT-009</w:t>
            </w:r>
          </w:p>
        </w:tc>
        <w:tc>
          <w:tcPr/>
          <w:p>
            <w:pPr>
              <w:pStyle w:val="Compact"/>
              <w:jc w:val="left"/>
            </w:pPr>
            <w:r>
              <w:t xml:space="preserve">HIPAA Notice of Privacy Practices acknowledgment required at first visit</w:t>
            </w:r>
          </w:p>
        </w:tc>
        <w:tc>
          <w:tcPr/>
          <w:p>
            <w:pPr>
              <w:pStyle w:val="Compact"/>
              <w:jc w:val="left"/>
            </w:pPr>
            <w:r>
              <w:t xml:space="preserve">Critical</w:t>
            </w:r>
          </w:p>
        </w:tc>
        <w:tc>
          <w:tcPr/>
          <w:p>
            <w:pPr>
              <w:pStyle w:val="Compact"/>
              <w:jc w:val="left"/>
            </w:pPr>
            <w:r>
              <w:t xml:space="preserve">Front desk + System</w:t>
            </w:r>
          </w:p>
        </w:tc>
      </w:tr>
      <w:tr>
        <w:tc>
          <w:tcPr/>
          <w:p>
            <w:pPr>
              <w:pStyle w:val="Compact"/>
              <w:jc w:val="left"/>
            </w:pPr>
            <w:r>
              <w:t xml:space="preserve">PAT-010</w:t>
            </w:r>
          </w:p>
        </w:tc>
        <w:tc>
          <w:tcPr/>
          <w:p>
            <w:pPr>
              <w:pStyle w:val="Compact"/>
              <w:jc w:val="left"/>
            </w:pPr>
            <w:r>
              <w:t xml:space="preserve">Patient demographics must be verified at every visit (annual minimum)</w:t>
            </w:r>
          </w:p>
        </w:tc>
        <w:tc>
          <w:tcPr/>
          <w:p>
            <w:pPr>
              <w:pStyle w:val="Compact"/>
              <w:jc w:val="left"/>
            </w:pPr>
            <w:r>
              <w:t xml:space="preserve">Medium</w:t>
            </w:r>
          </w:p>
        </w:tc>
        <w:tc>
          <w:tcPr/>
          <w:p>
            <w:pPr>
              <w:pStyle w:val="Compact"/>
              <w:jc w:val="left"/>
            </w:pPr>
            <w:r>
              <w:t xml:space="preserve">Front desk</w:t>
            </w:r>
          </w:p>
        </w:tc>
      </w:tr>
    </w:tbl>
    <w:bookmarkEnd w:id="24"/>
    <w:bookmarkStart w:id="25" w:name="patient-status-lifecycle"/>
    <w:p>
      <w:pPr>
        <w:pStyle w:val="Heading3"/>
      </w:pPr>
      <w:r>
        <w:t xml:space="preserve">2.2 Patient Status Lifecycle</w:t>
      </w:r>
    </w:p>
    <w:p>
      <w:pPr>
        <w:pStyle w:val="SourceCode"/>
      </w:pPr>
      <w:r>
        <w:rPr>
          <w:rStyle w:val="VerbatimChar"/>
        </w:rPr>
        <w:t xml:space="preserve">NEW ──(first appointment scheduled)──▶ ACTIVE</w:t>
      </w:r>
      <w:r>
        <w:br/>
      </w:r>
      <w:r>
        <w:rPr>
          <w:rStyle w:val="VerbatimChar"/>
        </w:rPr>
        <w:t xml:space="preserve">ACTIVE ──(36 months no visit)──▶ INACTIVE</w:t>
      </w:r>
      <w:r>
        <w:br/>
      </w:r>
      <w:r>
        <w:rPr>
          <w:rStyle w:val="VerbatimChar"/>
        </w:rPr>
        <w:t xml:space="preserve">INACTIVE ──(new appointment)──▶ ACTIVE</w:t>
      </w:r>
      <w:r>
        <w:br/>
      </w:r>
      <w:r>
        <w:rPr>
          <w:rStyle w:val="VerbatimChar"/>
        </w:rPr>
        <w:t xml:space="preserve">ACTIVE ──(patient requests)──▶ TRANSFERRED</w:t>
      </w:r>
      <w:r>
        <w:br/>
      </w:r>
      <w:r>
        <w:rPr>
          <w:rStyle w:val="VerbatimChar"/>
        </w:rPr>
        <w:t xml:space="preserve">ACTIVE ──(confirmed deceased)──▶ DECEASED</w:t>
      </w:r>
      <w:r>
        <w:br/>
      </w:r>
      <w:r>
        <w:rPr>
          <w:rStyle w:val="VerbatimChar"/>
        </w:rPr>
        <w:t xml:space="preserve">Any status ──(legal/compliance)──▶ RESTRICTED</w:t>
      </w:r>
    </w:p>
    <w:tbl>
      <w:tblPr>
        <w:tblStyle w:val="Table"/>
        <w:tblW w:type="pct" w:w="5000"/>
        <w:tblLook w:firstRow="1" w:lastRow="0" w:firstColumn="0" w:lastColumn="0" w:noHBand="0" w:noVBand="0" w:val="0020"/>
        <w:jc w:val="start"/>
      </w:tblPr>
      <w:tblGrid>
        <w:gridCol w:w="1440"/>
        <w:gridCol w:w="2468"/>
        <w:gridCol w:w="1851"/>
        <w:gridCol w:w="1234"/>
        <w:gridCol w:w="925"/>
      </w:tblGrid>
      <w:tr>
        <w:trPr>
          <w:tblHeader w:val="true"/>
        </w:trPr>
        <w:tc>
          <w:tcPr/>
          <w:p>
            <w:pPr>
              <w:pStyle w:val="Compact"/>
              <w:jc w:val="left"/>
            </w:pPr>
            <w:r>
              <w:t xml:space="preserve">Status</w:t>
            </w:r>
          </w:p>
        </w:tc>
        <w:tc>
          <w:tcPr/>
          <w:p>
            <w:pPr>
              <w:pStyle w:val="Compact"/>
              <w:jc w:val="left"/>
            </w:pPr>
            <w:r>
              <w:t xml:space="preserve">System Access</w:t>
            </w:r>
          </w:p>
        </w:tc>
        <w:tc>
          <w:tcPr/>
          <w:p>
            <w:pPr>
              <w:pStyle w:val="Compact"/>
              <w:jc w:val="left"/>
            </w:pPr>
            <w:r>
              <w:t xml:space="preserve">Billing Activity</w:t>
            </w:r>
          </w:p>
        </w:tc>
        <w:tc>
          <w:tcPr/>
          <w:p>
            <w:pPr>
              <w:pStyle w:val="Compact"/>
              <w:jc w:val="left"/>
            </w:pPr>
            <w:r>
              <w:t xml:space="preserve">Scheduling</w:t>
            </w:r>
          </w:p>
        </w:tc>
        <w:tc>
          <w:tcPr/>
          <w:p>
            <w:pPr>
              <w:pStyle w:val="Compact"/>
              <w:jc w:val="left"/>
            </w:pPr>
            <w:r>
              <w:t xml:space="preserve">Recalls</w:t>
            </w:r>
          </w:p>
        </w:tc>
      </w:tr>
      <w:tr>
        <w:tc>
          <w:tcPr/>
          <w:p>
            <w:pPr>
              <w:pStyle w:val="Compact"/>
              <w:jc w:val="left"/>
            </w:pPr>
            <w:r>
              <w:t xml:space="preserve">NEW</w:t>
            </w:r>
          </w:p>
        </w:tc>
        <w:tc>
          <w:tcPr/>
          <w:p>
            <w:pPr>
              <w:pStyle w:val="Compact"/>
              <w:jc w:val="left"/>
            </w:pPr>
            <w:r>
              <w:t xml:space="preserve">Limited (demographics)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ACTIVE</w:t>
            </w:r>
          </w:p>
        </w:tc>
        <w:tc>
          <w:tcPr/>
          <w:p>
            <w:pPr>
              <w:pStyle w:val="Compact"/>
              <w:jc w:val="left"/>
            </w:pPr>
            <w:r>
              <w:t xml:space="preserve">Full</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INACTIVE</w:t>
            </w:r>
          </w:p>
        </w:tc>
        <w:tc>
          <w:tcPr/>
          <w:p>
            <w:pPr>
              <w:pStyle w:val="Compact"/>
              <w:jc w:val="left"/>
            </w:pPr>
            <w:r>
              <w:t xml:space="preserve">View-only (unless reactivated)</w:t>
            </w:r>
          </w:p>
        </w:tc>
        <w:tc>
          <w:tcPr/>
          <w:p>
            <w:pPr>
              <w:pStyle w:val="Compact"/>
              <w:jc w:val="left"/>
            </w:pPr>
            <w:r>
              <w:t xml:space="preserve">Collections only</w:t>
            </w:r>
          </w:p>
        </w:tc>
        <w:tc>
          <w:tcPr/>
          <w:p>
            <w:pPr>
              <w:pStyle w:val="Compact"/>
              <w:jc w:val="left"/>
            </w:pPr>
            <w:r>
              <w:t xml:space="preserve">Reactivation required</w:t>
            </w:r>
          </w:p>
        </w:tc>
        <w:tc>
          <w:tcPr/>
          <w:p>
            <w:pPr>
              <w:pStyle w:val="Compact"/>
              <w:jc w:val="left"/>
            </w:pPr>
            <w:r>
              <w:t xml:space="preserve">No</w:t>
            </w:r>
          </w:p>
        </w:tc>
      </w:tr>
      <w:tr>
        <w:tc>
          <w:tcPr/>
          <w:p>
            <w:pPr>
              <w:pStyle w:val="Compact"/>
              <w:jc w:val="left"/>
            </w:pPr>
            <w:r>
              <w:t xml:space="preserve">TRANSFERRED</w:t>
            </w:r>
          </w:p>
        </w:tc>
        <w:tc>
          <w:tcPr/>
          <w:p>
            <w:pPr>
              <w:pStyle w:val="Compact"/>
              <w:jc w:val="left"/>
            </w:pPr>
            <w:r>
              <w:t xml:space="preserve">View-only</w:t>
            </w:r>
          </w:p>
        </w:tc>
        <w:tc>
          <w:tcPr/>
          <w:p>
            <w:pPr>
              <w:pStyle w:val="Compact"/>
              <w:jc w:val="left"/>
            </w:pPr>
            <w:r>
              <w:t xml:space="preserve">Final statements</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DECEASED</w:t>
            </w:r>
          </w:p>
        </w:tc>
        <w:tc>
          <w:tcPr/>
          <w:p>
            <w:pPr>
              <w:pStyle w:val="Compact"/>
              <w:jc w:val="left"/>
            </w:pPr>
            <w:r>
              <w:t xml:space="preserve">View-only</w:t>
            </w:r>
          </w:p>
        </w:tc>
        <w:tc>
          <w:tcPr/>
          <w:p>
            <w:pPr>
              <w:pStyle w:val="Compact"/>
              <w:jc w:val="left"/>
            </w:pPr>
            <w:r>
              <w:t xml:space="preserve">Estate billing</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RESTRICTED</w:t>
            </w:r>
          </w:p>
        </w:tc>
        <w:tc>
          <w:tcPr/>
          <w:p>
            <w:pPr>
              <w:pStyle w:val="Compact"/>
              <w:jc w:val="left"/>
            </w:pPr>
            <w:r>
              <w:t xml:space="preserve">As per restriction</w:t>
            </w:r>
          </w:p>
        </w:tc>
        <w:tc>
          <w:tcPr/>
          <w:p>
            <w:pPr>
              <w:pStyle w:val="Compact"/>
              <w:jc w:val="left"/>
            </w:pPr>
            <w:r>
              <w:t xml:space="preserve">As per restriction</w:t>
            </w:r>
          </w:p>
        </w:tc>
        <w:tc>
          <w:tcPr/>
          <w:p>
            <w:pPr>
              <w:pStyle w:val="Compact"/>
              <w:jc w:val="left"/>
            </w:pPr>
            <w:r>
              <w:t xml:space="preserve">As per restriction</w:t>
            </w:r>
          </w:p>
        </w:tc>
        <w:tc>
          <w:tcPr/>
          <w:p>
            <w:pPr>
              <w:pStyle w:val="Compact"/>
              <w:jc w:val="left"/>
            </w:pPr>
            <w:r>
              <w:t xml:space="preserve">No</w:t>
            </w:r>
          </w:p>
        </w:tc>
      </w:tr>
    </w:tbl>
    <w:bookmarkEnd w:id="25"/>
    <w:bookmarkStart w:id="26" w:name="medical-history-and-alerts"/>
    <w:p>
      <w:pPr>
        <w:pStyle w:val="Heading3"/>
      </w:pPr>
      <w:r>
        <w:t xml:space="preserve">2.3 Medical History and Alerts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MED-001</w:t>
            </w:r>
          </w:p>
        </w:tc>
        <w:tc>
          <w:tcPr/>
          <w:p>
            <w:pPr>
              <w:pStyle w:val="Compact"/>
              <w:jc w:val="left"/>
            </w:pPr>
            <w:r>
              <w:t xml:space="preserve">Medical history questionnaire required at first visit</w:t>
            </w:r>
          </w:p>
        </w:tc>
        <w:tc>
          <w:tcPr/>
          <w:p>
            <w:pPr>
              <w:pStyle w:val="Compact"/>
              <w:jc w:val="left"/>
            </w:pPr>
            <w:r>
              <w:t xml:space="preserve">Critical</w:t>
            </w:r>
          </w:p>
        </w:tc>
      </w:tr>
      <w:tr>
        <w:tc>
          <w:tcPr/>
          <w:p>
            <w:pPr>
              <w:pStyle w:val="Compact"/>
              <w:jc w:val="left"/>
            </w:pPr>
            <w:r>
              <w:t xml:space="preserve">MED-002</w:t>
            </w:r>
          </w:p>
        </w:tc>
        <w:tc>
          <w:tcPr/>
          <w:p>
            <w:pPr>
              <w:pStyle w:val="Compact"/>
              <w:jc w:val="left"/>
            </w:pPr>
            <w:r>
              <w:t xml:space="preserve">Medical history update required annually or upon reported change</w:t>
            </w:r>
          </w:p>
        </w:tc>
        <w:tc>
          <w:tcPr/>
          <w:p>
            <w:pPr>
              <w:pStyle w:val="Compact"/>
              <w:jc w:val="left"/>
            </w:pPr>
            <w:r>
              <w:t xml:space="preserve">High</w:t>
            </w:r>
          </w:p>
        </w:tc>
      </w:tr>
      <w:tr>
        <w:tc>
          <w:tcPr/>
          <w:p>
            <w:pPr>
              <w:pStyle w:val="Compact"/>
              <w:jc w:val="left"/>
            </w:pPr>
            <w:r>
              <w:t xml:space="preserve">MED-003</w:t>
            </w:r>
          </w:p>
        </w:tc>
        <w:tc>
          <w:tcPr/>
          <w:p>
            <w:pPr>
              <w:pStyle w:val="Compact"/>
              <w:jc w:val="left"/>
            </w:pPr>
            <w:r>
              <w:t xml:space="preserve">Drug allergies displayed as alert banner on every clinical screen</w:t>
            </w:r>
          </w:p>
        </w:tc>
        <w:tc>
          <w:tcPr/>
          <w:p>
            <w:pPr>
              <w:pStyle w:val="Compact"/>
              <w:jc w:val="left"/>
            </w:pPr>
            <w:r>
              <w:t xml:space="preserve">Critical</w:t>
            </w:r>
          </w:p>
        </w:tc>
      </w:tr>
      <w:tr>
        <w:tc>
          <w:tcPr/>
          <w:p>
            <w:pPr>
              <w:pStyle w:val="Compact"/>
              <w:jc w:val="left"/>
            </w:pPr>
            <w:r>
              <w:t xml:space="preserve">MED-004</w:t>
            </w:r>
          </w:p>
        </w:tc>
        <w:tc>
          <w:tcPr/>
          <w:p>
            <w:pPr>
              <w:pStyle w:val="Compact"/>
              <w:jc w:val="left"/>
            </w:pPr>
            <w:r>
              <w:t xml:space="preserve">Medical conditions affecting treatment displayed as clinical alert</w:t>
            </w:r>
          </w:p>
        </w:tc>
        <w:tc>
          <w:tcPr/>
          <w:p>
            <w:pPr>
              <w:pStyle w:val="Compact"/>
              <w:jc w:val="left"/>
            </w:pPr>
            <w:r>
              <w:t xml:space="preserve">Critical</w:t>
            </w:r>
          </w:p>
        </w:tc>
      </w:tr>
      <w:tr>
        <w:tc>
          <w:tcPr/>
          <w:p>
            <w:pPr>
              <w:pStyle w:val="Compact"/>
              <w:jc w:val="left"/>
            </w:pPr>
            <w:r>
              <w:t xml:space="preserve">MED-005</w:t>
            </w:r>
          </w:p>
        </w:tc>
        <w:tc>
          <w:tcPr/>
          <w:p>
            <w:pPr>
              <w:pStyle w:val="Compact"/>
              <w:jc w:val="left"/>
            </w:pPr>
            <w:r>
              <w:t xml:space="preserve">Bisphosphonate use flagged for oral surgery consideration</w:t>
            </w:r>
          </w:p>
        </w:tc>
        <w:tc>
          <w:tcPr/>
          <w:p>
            <w:pPr>
              <w:pStyle w:val="Compact"/>
              <w:jc w:val="left"/>
            </w:pPr>
            <w:r>
              <w:t xml:space="preserve">High</w:t>
            </w:r>
          </w:p>
        </w:tc>
      </w:tr>
      <w:tr>
        <w:tc>
          <w:tcPr/>
          <w:p>
            <w:pPr>
              <w:pStyle w:val="Compact"/>
              <w:jc w:val="left"/>
            </w:pPr>
            <w:r>
              <w:t xml:space="preserve">MED-006</w:t>
            </w:r>
          </w:p>
        </w:tc>
        <w:tc>
          <w:tcPr/>
          <w:p>
            <w:pPr>
              <w:pStyle w:val="Compact"/>
              <w:jc w:val="left"/>
            </w:pPr>
            <w:r>
              <w:t xml:space="preserve">Anticoagulant use flagged for any surgical procedure</w:t>
            </w:r>
          </w:p>
        </w:tc>
        <w:tc>
          <w:tcPr/>
          <w:p>
            <w:pPr>
              <w:pStyle w:val="Compact"/>
              <w:jc w:val="left"/>
            </w:pPr>
            <w:r>
              <w:t xml:space="preserve">Critical</w:t>
            </w:r>
          </w:p>
        </w:tc>
      </w:tr>
      <w:tr>
        <w:tc>
          <w:tcPr/>
          <w:p>
            <w:pPr>
              <w:pStyle w:val="Compact"/>
              <w:jc w:val="left"/>
            </w:pPr>
            <w:r>
              <w:t xml:space="preserve">MED-007</w:t>
            </w:r>
          </w:p>
        </w:tc>
        <w:tc>
          <w:tcPr/>
          <w:p>
            <w:pPr>
              <w:pStyle w:val="Compact"/>
              <w:jc w:val="left"/>
            </w:pPr>
            <w:r>
              <w:t xml:space="preserve">Pregnancy status must be asked before radiograph procedures</w:t>
            </w:r>
          </w:p>
        </w:tc>
        <w:tc>
          <w:tcPr/>
          <w:p>
            <w:pPr>
              <w:pStyle w:val="Compact"/>
              <w:jc w:val="left"/>
            </w:pPr>
            <w:r>
              <w:t xml:space="preserve">Critical</w:t>
            </w:r>
          </w:p>
        </w:tc>
      </w:tr>
      <w:tr>
        <w:tc>
          <w:tcPr/>
          <w:p>
            <w:pPr>
              <w:pStyle w:val="Compact"/>
              <w:jc w:val="left"/>
            </w:pPr>
            <w:r>
              <w:t xml:space="preserve">MED-008</w:t>
            </w:r>
          </w:p>
        </w:tc>
        <w:tc>
          <w:tcPr/>
          <w:p>
            <w:pPr>
              <w:pStyle w:val="Compact"/>
              <w:jc w:val="left"/>
            </w:pPr>
            <w:r>
              <w:t xml:space="preserve">Latex allergy flagged — non-latex supplies required</w:t>
            </w:r>
          </w:p>
        </w:tc>
        <w:tc>
          <w:tcPr/>
          <w:p>
            <w:pPr>
              <w:pStyle w:val="Compact"/>
              <w:jc w:val="left"/>
            </w:pPr>
            <w:r>
              <w:t xml:space="preserve">Critical</w:t>
            </w:r>
          </w:p>
        </w:tc>
      </w:tr>
      <w:tr>
        <w:tc>
          <w:tcPr/>
          <w:p>
            <w:pPr>
              <w:pStyle w:val="Compact"/>
              <w:jc w:val="left"/>
            </w:pPr>
            <w:r>
              <w:t xml:space="preserve">MED-009</w:t>
            </w:r>
          </w:p>
        </w:tc>
        <w:tc>
          <w:tcPr/>
          <w:p>
            <w:pPr>
              <w:pStyle w:val="Compact"/>
              <w:jc w:val="left"/>
            </w:pPr>
            <w:r>
              <w:t xml:space="preserve">Premedication requirements auto-displayed when applicable</w:t>
            </w:r>
          </w:p>
        </w:tc>
        <w:tc>
          <w:tcPr/>
          <w:p>
            <w:pPr>
              <w:pStyle w:val="Compact"/>
              <w:jc w:val="left"/>
            </w:pPr>
            <w:r>
              <w:t xml:space="preserve">High</w:t>
            </w:r>
          </w:p>
        </w:tc>
      </w:tr>
      <w:tr>
        <w:tc>
          <w:tcPr/>
          <w:p>
            <w:pPr>
              <w:pStyle w:val="Compact"/>
              <w:jc w:val="left"/>
            </w:pPr>
            <w:r>
              <w:t xml:space="preserve">MED-010</w:t>
            </w:r>
          </w:p>
        </w:tc>
        <w:tc>
          <w:tcPr/>
          <w:p>
            <w:pPr>
              <w:pStyle w:val="Compact"/>
              <w:jc w:val="left"/>
            </w:pPr>
            <w:r>
              <w:t xml:space="preserve">Heart conditions requiring antibiotic prophylaxis per AHA guidelines</w:t>
            </w:r>
          </w:p>
        </w:tc>
        <w:tc>
          <w:tcPr/>
          <w:p>
            <w:pPr>
              <w:pStyle w:val="Compact"/>
              <w:jc w:val="left"/>
            </w:pPr>
            <w:r>
              <w:t xml:space="preserve">Critical</w:t>
            </w:r>
          </w:p>
        </w:tc>
      </w:tr>
    </w:tbl>
    <w:p>
      <w:pPr>
        <w:pStyle w:val="BodyText"/>
      </w:pPr>
      <w:r>
        <w:rPr>
          <w:bCs/>
          <w:b/>
        </w:rPr>
        <w:t xml:space="preserve">Premedication Conditions (auto-flag):</w:t>
      </w:r>
    </w:p>
    <w:tbl>
      <w:tblPr>
        <w:tblStyle w:val="Table"/>
        <w:tblW w:type="pct" w:w="5000"/>
        <w:tblLook w:firstRow="1" w:lastRow="0" w:firstColumn="0" w:lastColumn="0" w:noHBand="0" w:noVBand="0" w:val="0020"/>
        <w:jc w:val="start"/>
      </w:tblPr>
      <w:tblGrid>
        <w:gridCol w:w="3136"/>
        <w:gridCol w:w="1881"/>
        <w:gridCol w:w="2901"/>
      </w:tblGrid>
      <w:tr>
        <w:trPr>
          <w:tblHeader w:val="true"/>
        </w:trPr>
        <w:tc>
          <w:tcPr/>
          <w:p>
            <w:pPr>
              <w:pStyle w:val="Compact"/>
              <w:jc w:val="left"/>
            </w:pPr>
            <w:r>
              <w:t xml:space="preserve">Condition</w:t>
            </w:r>
          </w:p>
        </w:tc>
        <w:tc>
          <w:tcPr/>
          <w:p>
            <w:pPr>
              <w:pStyle w:val="Compact"/>
              <w:jc w:val="left"/>
            </w:pPr>
            <w:r>
              <w:t xml:space="preserve">Premedication Required</w:t>
            </w:r>
          </w:p>
        </w:tc>
        <w:tc>
          <w:tcPr/>
          <w:p>
            <w:pPr>
              <w:pStyle w:val="Compact"/>
              <w:jc w:val="left"/>
            </w:pPr>
            <w:r>
              <w:t xml:space="preserve">Standard Regimen</w:t>
            </w:r>
          </w:p>
        </w:tc>
      </w:tr>
      <w:tr>
        <w:tc>
          <w:tcPr/>
          <w:p>
            <w:pPr>
              <w:pStyle w:val="Compact"/>
              <w:jc w:val="left"/>
            </w:pPr>
            <w:r>
              <w:t xml:space="preserve">Prosthetic cardiac valve</w:t>
            </w:r>
          </w:p>
        </w:tc>
        <w:tc>
          <w:tcPr/>
          <w:p>
            <w:pPr>
              <w:pStyle w:val="Compact"/>
              <w:jc w:val="left"/>
            </w:pPr>
            <w:r>
              <w:t xml:space="preserve">Yes</w:t>
            </w:r>
          </w:p>
        </w:tc>
        <w:tc>
          <w:tcPr/>
          <w:p>
            <w:pPr>
              <w:pStyle w:val="Compact"/>
              <w:jc w:val="left"/>
            </w:pPr>
            <w:r>
              <w:t xml:space="preserve">Amoxicillin 2g, 1hr before procedure</w:t>
            </w:r>
          </w:p>
        </w:tc>
      </w:tr>
      <w:tr>
        <w:tc>
          <w:tcPr/>
          <w:p>
            <w:pPr>
              <w:pStyle w:val="Compact"/>
              <w:jc w:val="left"/>
            </w:pPr>
            <w:r>
              <w:t xml:space="preserve">History of infective endocarditis</w:t>
            </w:r>
          </w:p>
        </w:tc>
        <w:tc>
          <w:tcPr/>
          <w:p>
            <w:pPr>
              <w:pStyle w:val="Compact"/>
              <w:jc w:val="left"/>
            </w:pPr>
            <w:r>
              <w:t xml:space="preserve">Yes</w:t>
            </w:r>
          </w:p>
        </w:tc>
        <w:tc>
          <w:tcPr/>
          <w:p>
            <w:pPr>
              <w:pStyle w:val="Compact"/>
              <w:jc w:val="left"/>
            </w:pPr>
            <w:r>
              <w:t xml:space="preserve">Amoxicillin 2g, 1hr before procedure</w:t>
            </w:r>
          </w:p>
        </w:tc>
      </w:tr>
      <w:tr>
        <w:tc>
          <w:tcPr/>
          <w:p>
            <w:pPr>
              <w:pStyle w:val="Compact"/>
              <w:jc w:val="left"/>
            </w:pPr>
            <w:r>
              <w:t xml:space="preserve">Congenital heart disease (unrepaired)</w:t>
            </w:r>
          </w:p>
        </w:tc>
        <w:tc>
          <w:tcPr/>
          <w:p>
            <w:pPr>
              <w:pStyle w:val="Compact"/>
              <w:jc w:val="left"/>
            </w:pPr>
            <w:r>
              <w:t xml:space="preserve">Yes</w:t>
            </w:r>
          </w:p>
        </w:tc>
        <w:tc>
          <w:tcPr/>
          <w:p>
            <w:pPr>
              <w:pStyle w:val="Compact"/>
              <w:jc w:val="left"/>
            </w:pPr>
            <w:r>
              <w:t xml:space="preserve">Amoxicillin 2g, 1hr before procedure</w:t>
            </w:r>
          </w:p>
        </w:tc>
      </w:tr>
      <w:tr>
        <w:tc>
          <w:tcPr/>
          <w:p>
            <w:pPr>
              <w:pStyle w:val="Compact"/>
              <w:jc w:val="left"/>
            </w:pPr>
            <w:r>
              <w:t xml:space="preserve">Cardiac transplant with valvulopathy</w:t>
            </w:r>
          </w:p>
        </w:tc>
        <w:tc>
          <w:tcPr/>
          <w:p>
            <w:pPr>
              <w:pStyle w:val="Compact"/>
              <w:jc w:val="left"/>
            </w:pPr>
            <w:r>
              <w:t xml:space="preserve">Yes</w:t>
            </w:r>
          </w:p>
        </w:tc>
        <w:tc>
          <w:tcPr/>
          <w:p>
            <w:pPr>
              <w:pStyle w:val="Compact"/>
              <w:jc w:val="left"/>
            </w:pPr>
            <w:r>
              <w:t xml:space="preserve">Amoxicillin 2g, 1hr before procedure</w:t>
            </w:r>
          </w:p>
        </w:tc>
      </w:tr>
      <w:tr>
        <w:tc>
          <w:tcPr/>
          <w:p>
            <w:pPr>
              <w:pStyle w:val="Compact"/>
              <w:jc w:val="left"/>
            </w:pPr>
            <w:r>
              <w:t xml:space="preserve">Total joint replacement (first 2 years)</w:t>
            </w:r>
          </w:p>
        </w:tc>
        <w:tc>
          <w:tcPr/>
          <w:p>
            <w:pPr>
              <w:pStyle w:val="Compact"/>
              <w:jc w:val="left"/>
            </w:pPr>
            <w:r>
              <w:t xml:space="preserve">Consult with physician</w:t>
            </w:r>
          </w:p>
        </w:tc>
        <w:tc>
          <w:tcPr/>
          <w:p>
            <w:pPr>
              <w:pStyle w:val="Compact"/>
              <w:jc w:val="left"/>
            </w:pPr>
            <w:r>
              <w:t xml:space="preserve">Case-by-case per orthopedic surgeon</w:t>
            </w:r>
          </w:p>
        </w:tc>
      </w:tr>
    </w:tbl>
    <w:p>
      <w:r>
        <w:pict>
          <v:rect style="width:0;height:1.5pt" o:hralign="center" o:hrstd="t" o:hr="t"/>
        </w:pict>
      </w:r>
    </w:p>
    <w:bookmarkEnd w:id="26"/>
    <w:bookmarkEnd w:id="27"/>
    <w:bookmarkStart w:id="33" w:name="clinical-business-rules"/>
    <w:p>
      <w:pPr>
        <w:pStyle w:val="Heading2"/>
      </w:pPr>
      <w:r>
        <w:t xml:space="preserve">3. Clinical Business Rules</w:t>
      </w:r>
    </w:p>
    <w:bookmarkStart w:id="28" w:name="treatment-planning"/>
    <w:p>
      <w:pPr>
        <w:pStyle w:val="Heading3"/>
      </w:pPr>
      <w:r>
        <w:t xml:space="preserve">3.1 Treatment Planning</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TX-001</w:t>
            </w:r>
          </w:p>
        </w:tc>
        <w:tc>
          <w:tcPr/>
          <w:p>
            <w:pPr>
              <w:pStyle w:val="Compact"/>
              <w:jc w:val="left"/>
            </w:pPr>
            <w:r>
              <w:t xml:space="preserve">All treatment plans must be created by a licensed dentist</w:t>
            </w:r>
          </w:p>
        </w:tc>
        <w:tc>
          <w:tcPr/>
          <w:p>
            <w:pPr>
              <w:pStyle w:val="Compact"/>
              <w:jc w:val="left"/>
            </w:pPr>
            <w:r>
              <w:t xml:space="preserve">Critical</w:t>
            </w:r>
          </w:p>
        </w:tc>
      </w:tr>
      <w:tr>
        <w:tc>
          <w:tcPr/>
          <w:p>
            <w:pPr>
              <w:pStyle w:val="Compact"/>
              <w:jc w:val="left"/>
            </w:pPr>
            <w:r>
              <w:t xml:space="preserve">TX-002</w:t>
            </w:r>
          </w:p>
        </w:tc>
        <w:tc>
          <w:tcPr/>
          <w:p>
            <w:pPr>
              <w:pStyle w:val="Compact"/>
              <w:jc w:val="left"/>
            </w:pPr>
            <w:r>
              <w:t xml:space="preserve">Treatment plans must use valid ADA CDT procedure codes</w:t>
            </w:r>
          </w:p>
        </w:tc>
        <w:tc>
          <w:tcPr/>
          <w:p>
            <w:pPr>
              <w:pStyle w:val="Compact"/>
              <w:jc w:val="left"/>
            </w:pPr>
            <w:r>
              <w:t xml:space="preserve">Critical</w:t>
            </w:r>
          </w:p>
        </w:tc>
      </w:tr>
      <w:tr>
        <w:tc>
          <w:tcPr/>
          <w:p>
            <w:pPr>
              <w:pStyle w:val="Compact"/>
              <w:jc w:val="left"/>
            </w:pPr>
            <w:r>
              <w:t xml:space="preserve">TX-003</w:t>
            </w:r>
          </w:p>
        </w:tc>
        <w:tc>
          <w:tcPr/>
          <w:p>
            <w:pPr>
              <w:pStyle w:val="Compact"/>
              <w:jc w:val="left"/>
            </w:pPr>
            <w:r>
              <w:t xml:space="preserve">Treatment plan must include estimated patient cost and insurance estimate</w:t>
            </w:r>
          </w:p>
        </w:tc>
        <w:tc>
          <w:tcPr/>
          <w:p>
            <w:pPr>
              <w:pStyle w:val="Compact"/>
              <w:jc w:val="left"/>
            </w:pPr>
            <w:r>
              <w:t xml:space="preserve">High</w:t>
            </w:r>
          </w:p>
        </w:tc>
      </w:tr>
      <w:tr>
        <w:tc>
          <w:tcPr/>
          <w:p>
            <w:pPr>
              <w:pStyle w:val="Compact"/>
              <w:jc w:val="left"/>
            </w:pPr>
            <w:r>
              <w:t xml:space="preserve">TX-004</w:t>
            </w:r>
          </w:p>
        </w:tc>
        <w:tc>
          <w:tcPr/>
          <w:p>
            <w:pPr>
              <w:pStyle w:val="Compact"/>
              <w:jc w:val="left"/>
            </w:pPr>
            <w:r>
              <w:t xml:space="preserve">Patient must sign treatment plan acceptance before treatment begins</w:t>
            </w:r>
          </w:p>
        </w:tc>
        <w:tc>
          <w:tcPr/>
          <w:p>
            <w:pPr>
              <w:pStyle w:val="Compact"/>
              <w:jc w:val="left"/>
            </w:pPr>
            <w:r>
              <w:t xml:space="preserve">High</w:t>
            </w:r>
          </w:p>
        </w:tc>
      </w:tr>
      <w:tr>
        <w:tc>
          <w:tcPr/>
          <w:p>
            <w:pPr>
              <w:pStyle w:val="Compact"/>
              <w:jc w:val="left"/>
            </w:pPr>
            <w:r>
              <w:t xml:space="preserve">TX-005</w:t>
            </w:r>
          </w:p>
        </w:tc>
        <w:tc>
          <w:tcPr/>
          <w:p>
            <w:pPr>
              <w:pStyle w:val="Compact"/>
              <w:jc w:val="left"/>
            </w:pPr>
            <w:r>
              <w:t xml:space="preserve">Treatment plans valid for 12 months; re-evaluation required after</w:t>
            </w:r>
          </w:p>
        </w:tc>
        <w:tc>
          <w:tcPr/>
          <w:p>
            <w:pPr>
              <w:pStyle w:val="Compact"/>
              <w:jc w:val="left"/>
            </w:pPr>
            <w:r>
              <w:t xml:space="preserve">Medium</w:t>
            </w:r>
          </w:p>
        </w:tc>
      </w:tr>
      <w:tr>
        <w:tc>
          <w:tcPr/>
          <w:p>
            <w:pPr>
              <w:pStyle w:val="Compact"/>
              <w:jc w:val="left"/>
            </w:pPr>
            <w:r>
              <w:t xml:space="preserve">TX-006</w:t>
            </w:r>
          </w:p>
        </w:tc>
        <w:tc>
          <w:tcPr/>
          <w:p>
            <w:pPr>
              <w:pStyle w:val="Compact"/>
              <w:jc w:val="left"/>
            </w:pPr>
            <w:r>
              <w:t xml:space="preserve">Phased treatment plans must indicate priority order</w:t>
            </w:r>
          </w:p>
        </w:tc>
        <w:tc>
          <w:tcPr/>
          <w:p>
            <w:pPr>
              <w:pStyle w:val="Compact"/>
              <w:jc w:val="left"/>
            </w:pPr>
            <w:r>
              <w:t xml:space="preserve">Medium</w:t>
            </w:r>
          </w:p>
        </w:tc>
      </w:tr>
      <w:tr>
        <w:tc>
          <w:tcPr/>
          <w:p>
            <w:pPr>
              <w:pStyle w:val="Compact"/>
              <w:jc w:val="left"/>
            </w:pPr>
            <w:r>
              <w:t xml:space="preserve">TX-007</w:t>
            </w:r>
          </w:p>
        </w:tc>
        <w:tc>
          <w:tcPr/>
          <w:p>
            <w:pPr>
              <w:pStyle w:val="Compact"/>
              <w:jc w:val="left"/>
            </w:pPr>
            <w:r>
              <w:t xml:space="preserve">Alternative treatment options must be documented when applicable</w:t>
            </w:r>
          </w:p>
        </w:tc>
        <w:tc>
          <w:tcPr/>
          <w:p>
            <w:pPr>
              <w:pStyle w:val="Compact"/>
              <w:jc w:val="left"/>
            </w:pPr>
            <w:r>
              <w:t xml:space="preserve">High</w:t>
            </w:r>
          </w:p>
        </w:tc>
      </w:tr>
      <w:tr>
        <w:tc>
          <w:tcPr/>
          <w:p>
            <w:pPr>
              <w:pStyle w:val="Compact"/>
              <w:jc w:val="left"/>
            </w:pPr>
            <w:r>
              <w:t xml:space="preserve">TX-008</w:t>
            </w:r>
          </w:p>
        </w:tc>
        <w:tc>
          <w:tcPr/>
          <w:p>
            <w:pPr>
              <w:pStyle w:val="Compact"/>
              <w:jc w:val="left"/>
            </w:pPr>
            <w:r>
              <w:t xml:space="preserve">Referred procedures must include referral documentation</w:t>
            </w:r>
          </w:p>
        </w:tc>
        <w:tc>
          <w:tcPr/>
          <w:p>
            <w:pPr>
              <w:pStyle w:val="Compact"/>
              <w:jc w:val="left"/>
            </w:pPr>
            <w:r>
              <w:t xml:space="preserve">High</w:t>
            </w:r>
          </w:p>
        </w:tc>
      </w:tr>
    </w:tbl>
    <w:bookmarkEnd w:id="28"/>
    <w:bookmarkStart w:id="29" w:name="procedure-completion-rules"/>
    <w:p>
      <w:pPr>
        <w:pStyle w:val="Heading3"/>
      </w:pPr>
      <w:r>
        <w:t xml:space="preserve">3.2 Procedure Completion Rules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PROC-001</w:t>
            </w:r>
          </w:p>
        </w:tc>
        <w:tc>
          <w:tcPr/>
          <w:p>
            <w:pPr>
              <w:pStyle w:val="Compact"/>
              <w:jc w:val="left"/>
            </w:pPr>
            <w:r>
              <w:t xml:space="preserve">Completed procedures require clinical note documentation</w:t>
            </w:r>
          </w:p>
        </w:tc>
        <w:tc>
          <w:tcPr/>
          <w:p>
            <w:pPr>
              <w:pStyle w:val="Compact"/>
              <w:jc w:val="left"/>
            </w:pPr>
            <w:r>
              <w:t xml:space="preserve">Critical</w:t>
            </w:r>
          </w:p>
        </w:tc>
      </w:tr>
      <w:tr>
        <w:tc>
          <w:tcPr/>
          <w:p>
            <w:pPr>
              <w:pStyle w:val="Compact"/>
              <w:jc w:val="left"/>
            </w:pPr>
            <w:r>
              <w:t xml:space="preserve">PROC-002</w:t>
            </w:r>
          </w:p>
        </w:tc>
        <w:tc>
          <w:tcPr/>
          <w:p>
            <w:pPr>
              <w:pStyle w:val="Compact"/>
              <w:jc w:val="left"/>
            </w:pPr>
            <w:r>
              <w:t xml:space="preserve">Procedure must be linked to a valid ADA CDT code</w:t>
            </w:r>
          </w:p>
        </w:tc>
        <w:tc>
          <w:tcPr/>
          <w:p>
            <w:pPr>
              <w:pStyle w:val="Compact"/>
              <w:jc w:val="left"/>
            </w:pPr>
            <w:r>
              <w:t xml:space="preserve">Critical</w:t>
            </w:r>
          </w:p>
        </w:tc>
      </w:tr>
      <w:tr>
        <w:tc>
          <w:tcPr/>
          <w:p>
            <w:pPr>
              <w:pStyle w:val="Compact"/>
              <w:jc w:val="left"/>
            </w:pPr>
            <w:r>
              <w:t xml:space="preserve">PROC-003</w:t>
            </w:r>
          </w:p>
        </w:tc>
        <w:tc>
          <w:tcPr/>
          <w:p>
            <w:pPr>
              <w:pStyle w:val="Compact"/>
              <w:jc w:val="left"/>
            </w:pPr>
            <w:r>
              <w:t xml:space="preserve">Tooth number required for tooth-specific procedures</w:t>
            </w:r>
          </w:p>
        </w:tc>
        <w:tc>
          <w:tcPr/>
          <w:p>
            <w:pPr>
              <w:pStyle w:val="Compact"/>
              <w:jc w:val="left"/>
            </w:pPr>
            <w:r>
              <w:t xml:space="preserve">High</w:t>
            </w:r>
          </w:p>
        </w:tc>
      </w:tr>
      <w:tr>
        <w:tc>
          <w:tcPr/>
          <w:p>
            <w:pPr>
              <w:pStyle w:val="Compact"/>
              <w:jc w:val="left"/>
            </w:pPr>
            <w:r>
              <w:t xml:space="preserve">PROC-004</w:t>
            </w:r>
          </w:p>
        </w:tc>
        <w:tc>
          <w:tcPr/>
          <w:p>
            <w:pPr>
              <w:pStyle w:val="Compact"/>
              <w:jc w:val="left"/>
            </w:pPr>
            <w:r>
              <w:t xml:space="preserve">Surface designation required for surface-specific codes (D2xxx)</w:t>
            </w:r>
          </w:p>
        </w:tc>
        <w:tc>
          <w:tcPr/>
          <w:p>
            <w:pPr>
              <w:pStyle w:val="Compact"/>
              <w:jc w:val="left"/>
            </w:pPr>
            <w:r>
              <w:t xml:space="preserve">High</w:t>
            </w:r>
          </w:p>
        </w:tc>
      </w:tr>
      <w:tr>
        <w:tc>
          <w:tcPr/>
          <w:p>
            <w:pPr>
              <w:pStyle w:val="Compact"/>
              <w:jc w:val="left"/>
            </w:pPr>
            <w:r>
              <w:t xml:space="preserve">PROC-005</w:t>
            </w:r>
          </w:p>
        </w:tc>
        <w:tc>
          <w:tcPr/>
          <w:p>
            <w:pPr>
              <w:pStyle w:val="Compact"/>
              <w:jc w:val="left"/>
            </w:pPr>
            <w:r>
              <w:t xml:space="preserve">Quadrant designation required for quadrant-specific codes</w:t>
            </w:r>
          </w:p>
        </w:tc>
        <w:tc>
          <w:tcPr/>
          <w:p>
            <w:pPr>
              <w:pStyle w:val="Compact"/>
              <w:jc w:val="left"/>
            </w:pPr>
            <w:r>
              <w:t xml:space="preserve">High</w:t>
            </w:r>
          </w:p>
        </w:tc>
      </w:tr>
      <w:tr>
        <w:tc>
          <w:tcPr/>
          <w:p>
            <w:pPr>
              <w:pStyle w:val="Compact"/>
              <w:jc w:val="left"/>
            </w:pPr>
            <w:r>
              <w:t xml:space="preserve">PROC-006</w:t>
            </w:r>
          </w:p>
        </w:tc>
        <w:tc>
          <w:tcPr/>
          <w:p>
            <w:pPr>
              <w:pStyle w:val="Compact"/>
              <w:jc w:val="left"/>
            </w:pPr>
            <w:r>
              <w:t xml:space="preserve">Provider who performed the procedure must be recorded</w:t>
            </w:r>
          </w:p>
        </w:tc>
        <w:tc>
          <w:tcPr/>
          <w:p>
            <w:pPr>
              <w:pStyle w:val="Compact"/>
              <w:jc w:val="left"/>
            </w:pPr>
            <w:r>
              <w:t xml:space="preserve">Critical</w:t>
            </w:r>
          </w:p>
        </w:tc>
      </w:tr>
      <w:tr>
        <w:tc>
          <w:tcPr/>
          <w:p>
            <w:pPr>
              <w:pStyle w:val="Compact"/>
              <w:jc w:val="left"/>
            </w:pPr>
            <w:r>
              <w:t xml:space="preserve">PROC-007</w:t>
            </w:r>
          </w:p>
        </w:tc>
        <w:tc>
          <w:tcPr/>
          <w:p>
            <w:pPr>
              <w:pStyle w:val="Compact"/>
              <w:jc w:val="left"/>
            </w:pPr>
            <w:r>
              <w:t xml:space="preserve">Assisting hygienist recorded when applicable</w:t>
            </w:r>
          </w:p>
        </w:tc>
        <w:tc>
          <w:tcPr/>
          <w:p>
            <w:pPr>
              <w:pStyle w:val="Compact"/>
              <w:jc w:val="left"/>
            </w:pPr>
            <w:r>
              <w:t xml:space="preserve">Medium</w:t>
            </w:r>
          </w:p>
        </w:tc>
      </w:tr>
      <w:tr>
        <w:tc>
          <w:tcPr/>
          <w:p>
            <w:pPr>
              <w:pStyle w:val="Compact"/>
              <w:jc w:val="left"/>
            </w:pPr>
            <w:r>
              <w:t xml:space="preserve">PROC-008</w:t>
            </w:r>
          </w:p>
        </w:tc>
        <w:tc>
          <w:tcPr/>
          <w:p>
            <w:pPr>
              <w:pStyle w:val="Compact"/>
              <w:jc w:val="left"/>
            </w:pPr>
            <w:r>
              <w:t xml:space="preserve">Procedure cannot be back-dated more than 7 days</w:t>
            </w:r>
          </w:p>
        </w:tc>
        <w:tc>
          <w:tcPr/>
          <w:p>
            <w:pPr>
              <w:pStyle w:val="Compact"/>
              <w:jc w:val="left"/>
            </w:pPr>
            <w:r>
              <w:t xml:space="preserve">High</w:t>
            </w:r>
          </w:p>
        </w:tc>
      </w:tr>
      <w:tr>
        <w:tc>
          <w:tcPr/>
          <w:p>
            <w:pPr>
              <w:pStyle w:val="Compact"/>
              <w:jc w:val="left"/>
            </w:pPr>
            <w:r>
              <w:t xml:space="preserve">PROC-009</w:t>
            </w:r>
          </w:p>
        </w:tc>
        <w:tc>
          <w:tcPr/>
          <w:p>
            <w:pPr>
              <w:pStyle w:val="Compact"/>
              <w:jc w:val="left"/>
            </w:pPr>
            <w:r>
              <w:t xml:space="preserve">Anesthesia type and amount documented for all procedures using anesthesia</w:t>
            </w:r>
          </w:p>
        </w:tc>
        <w:tc>
          <w:tcPr/>
          <w:p>
            <w:pPr>
              <w:pStyle w:val="Compact"/>
              <w:jc w:val="left"/>
            </w:pPr>
            <w:r>
              <w:t xml:space="preserve">High</w:t>
            </w:r>
          </w:p>
        </w:tc>
      </w:tr>
      <w:tr>
        <w:tc>
          <w:tcPr/>
          <w:p>
            <w:pPr>
              <w:pStyle w:val="Compact"/>
              <w:jc w:val="left"/>
            </w:pPr>
            <w:r>
              <w:t xml:space="preserve">PROC-010</w:t>
            </w:r>
          </w:p>
        </w:tc>
        <w:tc>
          <w:tcPr/>
          <w:p>
            <w:pPr>
              <w:pStyle w:val="Compact"/>
              <w:jc w:val="left"/>
            </w:pPr>
            <w:r>
              <w:t xml:space="preserve">Post-operative instructions documented for surgical procedures</w:t>
            </w:r>
          </w:p>
        </w:tc>
        <w:tc>
          <w:tcPr/>
          <w:p>
            <w:pPr>
              <w:pStyle w:val="Compact"/>
              <w:jc w:val="left"/>
            </w:pPr>
            <w:r>
              <w:t xml:space="preserve">High</w:t>
            </w:r>
          </w:p>
        </w:tc>
      </w:tr>
    </w:tbl>
    <w:bookmarkEnd w:id="29"/>
    <w:bookmarkStart w:id="30" w:name="clinical-note-requirements"/>
    <w:p>
      <w:pPr>
        <w:pStyle w:val="Heading3"/>
      </w:pPr>
      <w:r>
        <w:t xml:space="preserve">3.3 Clinical Note Requirements</w:t>
      </w:r>
    </w:p>
    <w:tbl>
      <w:tblPr>
        <w:tblStyle w:val="Table"/>
        <w:tblW w:type="pct" w:w="5000"/>
        <w:tblLook w:firstRow="1" w:lastRow="0" w:firstColumn="0" w:lastColumn="0" w:noHBand="0" w:noVBand="0" w:val="0020"/>
        <w:jc w:val="start"/>
      </w:tblPr>
      <w:tblGrid>
        <w:gridCol w:w="1691"/>
        <w:gridCol w:w="4690"/>
        <w:gridCol w:w="1537"/>
      </w:tblGrid>
      <w:tr>
        <w:trPr>
          <w:tblHeader w:val="true"/>
        </w:trPr>
        <w:tc>
          <w:tcPr/>
          <w:p>
            <w:pPr>
              <w:pStyle w:val="Compact"/>
              <w:jc w:val="left"/>
            </w:pPr>
            <w:r>
              <w:t xml:space="preserve">Note Type</w:t>
            </w:r>
          </w:p>
        </w:tc>
        <w:tc>
          <w:tcPr/>
          <w:p>
            <w:pPr>
              <w:pStyle w:val="Compact"/>
              <w:jc w:val="left"/>
            </w:pPr>
            <w:r>
              <w:t xml:space="preserve">Required Elements</w:t>
            </w:r>
          </w:p>
        </w:tc>
        <w:tc>
          <w:tcPr/>
          <w:p>
            <w:pPr>
              <w:pStyle w:val="Compact"/>
              <w:jc w:val="left"/>
            </w:pPr>
            <w:r>
              <w:t xml:space="preserve">Must Be Signed By</w:t>
            </w:r>
          </w:p>
        </w:tc>
      </w:tr>
      <w:tr>
        <w:tc>
          <w:tcPr/>
          <w:p>
            <w:pPr>
              <w:pStyle w:val="Compact"/>
              <w:jc w:val="left"/>
            </w:pPr>
            <w:r>
              <w:t xml:space="preserve">Progress Note</w:t>
            </w:r>
          </w:p>
        </w:tc>
        <w:tc>
          <w:tcPr/>
          <w:p>
            <w:pPr>
              <w:pStyle w:val="Compact"/>
              <w:jc w:val="left"/>
            </w:pPr>
            <w:r>
              <w:t xml:space="preserve">Chief complaint, findings, treatment rendered, plan</w:t>
            </w:r>
          </w:p>
        </w:tc>
        <w:tc>
          <w:tcPr/>
          <w:p>
            <w:pPr>
              <w:pStyle w:val="Compact"/>
              <w:jc w:val="left"/>
            </w:pPr>
            <w:r>
              <w:t xml:space="preserve">Treating dentist</w:t>
            </w:r>
          </w:p>
        </w:tc>
      </w:tr>
      <w:tr>
        <w:tc>
          <w:tcPr/>
          <w:p>
            <w:pPr>
              <w:pStyle w:val="Compact"/>
              <w:jc w:val="left"/>
            </w:pPr>
            <w:r>
              <w:t xml:space="preserve">Examination Note</w:t>
            </w:r>
          </w:p>
        </w:tc>
        <w:tc>
          <w:tcPr/>
          <w:p>
            <w:pPr>
              <w:pStyle w:val="Compact"/>
              <w:jc w:val="left"/>
            </w:pPr>
            <w:r>
              <w:t xml:space="preserve">Hard/soft tissue findings, radiograph interpretation, diagnosis</w:t>
            </w:r>
          </w:p>
        </w:tc>
        <w:tc>
          <w:tcPr/>
          <w:p>
            <w:pPr>
              <w:pStyle w:val="Compact"/>
              <w:jc w:val="left"/>
            </w:pPr>
            <w:r>
              <w:t xml:space="preserve">Examining dentist</w:t>
            </w:r>
          </w:p>
        </w:tc>
      </w:tr>
      <w:tr>
        <w:tc>
          <w:tcPr/>
          <w:p>
            <w:pPr>
              <w:pStyle w:val="Compact"/>
              <w:jc w:val="left"/>
            </w:pPr>
            <w:r>
              <w:t xml:space="preserve">Hygiene Note</w:t>
            </w:r>
          </w:p>
        </w:tc>
        <w:tc>
          <w:tcPr/>
          <w:p>
            <w:pPr>
              <w:pStyle w:val="Compact"/>
              <w:jc w:val="left"/>
            </w:pPr>
            <w:r>
              <w:t xml:space="preserve">Perio status, bleeding points, home care assessment, recommendations</w:t>
            </w:r>
          </w:p>
        </w:tc>
        <w:tc>
          <w:tcPr/>
          <w:p>
            <w:pPr>
              <w:pStyle w:val="Compact"/>
              <w:jc w:val="left"/>
            </w:pPr>
            <w:r>
              <w:t xml:space="preserve">Hygienist + Dentist</w:t>
            </w:r>
          </w:p>
        </w:tc>
      </w:tr>
      <w:tr>
        <w:tc>
          <w:tcPr/>
          <w:p>
            <w:pPr>
              <w:pStyle w:val="Compact"/>
              <w:jc w:val="left"/>
            </w:pPr>
            <w:r>
              <w:t xml:space="preserve">Surgical Note</w:t>
            </w:r>
          </w:p>
        </w:tc>
        <w:tc>
          <w:tcPr/>
          <w:p>
            <w:pPr>
              <w:pStyle w:val="Compact"/>
              <w:jc w:val="left"/>
            </w:pPr>
            <w:r>
              <w:t xml:space="preserve">Procedure details, anesthesia, complications, post-op instructions</w:t>
            </w:r>
          </w:p>
        </w:tc>
        <w:tc>
          <w:tcPr/>
          <w:p>
            <w:pPr>
              <w:pStyle w:val="Compact"/>
              <w:jc w:val="left"/>
            </w:pPr>
            <w:r>
              <w:t xml:space="preserve">Surgeon</w:t>
            </w:r>
          </w:p>
        </w:tc>
      </w:tr>
      <w:tr>
        <w:tc>
          <w:tcPr/>
          <w:p>
            <w:pPr>
              <w:pStyle w:val="Compact"/>
              <w:jc w:val="left"/>
            </w:pPr>
            <w:r>
              <w:t xml:space="preserve">Emergency Note</w:t>
            </w:r>
          </w:p>
        </w:tc>
        <w:tc>
          <w:tcPr/>
          <w:p>
            <w:pPr>
              <w:pStyle w:val="Compact"/>
              <w:jc w:val="left"/>
            </w:pPr>
            <w:r>
              <w:t xml:space="preserve">Chief complaint, diagnosis, emergency treatment, follow-up</w:t>
            </w:r>
          </w:p>
        </w:tc>
        <w:tc>
          <w:tcPr/>
          <w:p>
            <w:pPr>
              <w:pStyle w:val="Compact"/>
              <w:jc w:val="left"/>
            </w:pPr>
            <w:r>
              <w:t xml:space="preserve">Treating dentist</w:t>
            </w:r>
          </w:p>
        </w:tc>
      </w:tr>
      <w:tr>
        <w:tc>
          <w:tcPr/>
          <w:p>
            <w:pPr>
              <w:pStyle w:val="Compact"/>
              <w:jc w:val="left"/>
            </w:pPr>
            <w:r>
              <w:t xml:space="preserve">Consultation Note</w:t>
            </w:r>
          </w:p>
        </w:tc>
        <w:tc>
          <w:tcPr/>
          <w:p>
            <w:pPr>
              <w:pStyle w:val="Compact"/>
              <w:jc w:val="left"/>
            </w:pPr>
            <w:r>
              <w:t xml:space="preserve">Reason for consult, findings, recommendations</w:t>
            </w:r>
          </w:p>
        </w:tc>
        <w:tc>
          <w:tcPr/>
          <w:p>
            <w:pPr>
              <w:pStyle w:val="Compact"/>
              <w:jc w:val="left"/>
            </w:pPr>
            <w:r>
              <w:t xml:space="preserve">Consulting dentist</w:t>
            </w:r>
          </w:p>
        </w:tc>
      </w:tr>
    </w:tbl>
    <w:bookmarkEnd w:id="30"/>
    <w:bookmarkStart w:id="32" w:name="commonly-used-ada-cdt-codes"/>
    <w:p>
      <w:pPr>
        <w:pStyle w:val="Heading3"/>
      </w:pPr>
      <w:r>
        <w:t xml:space="preserve">3.4 Commonly Used ADA CDT Codes</w:t>
      </w:r>
    </w:p>
    <w:tbl>
      <w:tblPr>
        <w:tblStyle w:val="Table"/>
        <w:tblW w:type="pct" w:w="5000"/>
        <w:tblLook w:firstRow="1" w:lastRow="0" w:firstColumn="0" w:lastColumn="0" w:noHBand="0" w:noVBand="0" w:val="0020"/>
        <w:jc w:val="start"/>
      </w:tblPr>
      <w:tblGrid>
        <w:gridCol w:w="597"/>
        <w:gridCol w:w="2913"/>
        <w:gridCol w:w="1195"/>
        <w:gridCol w:w="1419"/>
        <w:gridCol w:w="1793"/>
      </w:tblGrid>
      <w:tr>
        <w:trPr>
          <w:tblHeader w:val="true"/>
        </w:trPr>
        <w:tc>
          <w:tcPr/>
          <w:p>
            <w:pPr>
              <w:pStyle w:val="Compact"/>
              <w:jc w:val="left"/>
            </w:pPr>
            <w:r>
              <w:t xml:space="preserve">Code</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Typical Fee Range</w:t>
            </w:r>
          </w:p>
        </w:tc>
        <w:tc>
          <w:tcPr/>
          <w:p>
            <w:pPr>
              <w:pStyle w:val="Compact"/>
              <w:jc w:val="left"/>
            </w:pPr>
            <w:r>
              <w:t xml:space="preserve">Frequency Limit</w:t>
            </w:r>
          </w:p>
        </w:tc>
      </w:tr>
      <w:tr>
        <w:tc>
          <w:tcPr/>
          <w:p>
            <w:pPr>
              <w:pStyle w:val="Compact"/>
              <w:jc w:val="left"/>
            </w:pPr>
            <w:r>
              <w:t xml:space="preserve">D0120</w:t>
            </w:r>
          </w:p>
        </w:tc>
        <w:tc>
          <w:tcPr/>
          <w:p>
            <w:pPr>
              <w:pStyle w:val="Compact"/>
              <w:jc w:val="left"/>
            </w:pPr>
            <w:r>
              <w:t xml:space="preserve">Periodic oral evaluation</w:t>
            </w:r>
          </w:p>
        </w:tc>
        <w:tc>
          <w:tcPr/>
          <w:p>
            <w:pPr>
              <w:pStyle w:val="Compact"/>
              <w:jc w:val="left"/>
            </w:pPr>
            <w:r>
              <w:t xml:space="preserve">Diagnostic</w:t>
            </w:r>
          </w:p>
        </w:tc>
        <w:tc>
          <w:tcPr/>
          <w:p>
            <w:pPr>
              <w:pStyle w:val="Compact"/>
              <w:jc w:val="left"/>
            </w:pPr>
            <w:r>
              <w:t xml:space="preserve">$45-65</w:t>
            </w:r>
          </w:p>
        </w:tc>
        <w:tc>
          <w:tcPr/>
          <w:p>
            <w:pPr>
              <w:pStyle w:val="Compact"/>
              <w:jc w:val="left"/>
            </w:pPr>
            <w:r>
              <w:t xml:space="preserve">2x per year</w:t>
            </w:r>
          </w:p>
        </w:tc>
      </w:tr>
      <w:tr>
        <w:tc>
          <w:tcPr/>
          <w:p>
            <w:pPr>
              <w:pStyle w:val="Compact"/>
              <w:jc w:val="left"/>
            </w:pPr>
            <w:r>
              <w:t xml:space="preserve">D0140</w:t>
            </w:r>
          </w:p>
        </w:tc>
        <w:tc>
          <w:tcPr/>
          <w:p>
            <w:pPr>
              <w:pStyle w:val="Compact"/>
              <w:jc w:val="left"/>
            </w:pPr>
            <w:r>
              <w:t xml:space="preserve">Limited oral evaluation - problem focused</w:t>
            </w:r>
          </w:p>
        </w:tc>
        <w:tc>
          <w:tcPr/>
          <w:p>
            <w:pPr>
              <w:pStyle w:val="Compact"/>
              <w:jc w:val="left"/>
            </w:pPr>
            <w:r>
              <w:t xml:space="preserve">Diagnostic</w:t>
            </w:r>
          </w:p>
        </w:tc>
        <w:tc>
          <w:tcPr/>
          <w:p>
            <w:pPr>
              <w:pStyle w:val="Compact"/>
              <w:jc w:val="left"/>
            </w:pPr>
            <w:r>
              <w:t xml:space="preserve">$65-95</w:t>
            </w:r>
          </w:p>
        </w:tc>
        <w:tc>
          <w:tcPr/>
          <w:p>
            <w:pPr>
              <w:pStyle w:val="Compact"/>
              <w:jc w:val="left"/>
            </w:pPr>
            <w:r>
              <w:t xml:space="preserve">As needed</w:t>
            </w:r>
          </w:p>
        </w:tc>
      </w:tr>
      <w:tr>
        <w:tc>
          <w:tcPr/>
          <w:p>
            <w:pPr>
              <w:pStyle w:val="Compact"/>
              <w:jc w:val="left"/>
            </w:pPr>
            <w:r>
              <w:t xml:space="preserve">D0150</w:t>
            </w:r>
          </w:p>
        </w:tc>
        <w:tc>
          <w:tcPr/>
          <w:p>
            <w:pPr>
              <w:pStyle w:val="Compact"/>
              <w:jc w:val="left"/>
            </w:pPr>
            <w:r>
              <w:t xml:space="preserve">Comprehensive oral evaluation - new patient</w:t>
            </w:r>
          </w:p>
        </w:tc>
        <w:tc>
          <w:tcPr/>
          <w:p>
            <w:pPr>
              <w:pStyle w:val="Compact"/>
              <w:jc w:val="left"/>
            </w:pPr>
            <w:r>
              <w:t xml:space="preserve">Diagnostic</w:t>
            </w:r>
          </w:p>
        </w:tc>
        <w:tc>
          <w:tcPr/>
          <w:p>
            <w:pPr>
              <w:pStyle w:val="Compact"/>
              <w:jc w:val="left"/>
            </w:pPr>
            <w:r>
              <w:t xml:space="preserve">$75-120</w:t>
            </w:r>
          </w:p>
        </w:tc>
        <w:tc>
          <w:tcPr/>
          <w:p>
            <w:pPr>
              <w:pStyle w:val="Compact"/>
              <w:jc w:val="left"/>
            </w:pPr>
            <w:r>
              <w:t xml:space="preserve">1x per provider</w:t>
            </w:r>
          </w:p>
        </w:tc>
      </w:tr>
      <w:tr>
        <w:tc>
          <w:tcPr/>
          <w:p>
            <w:pPr>
              <w:pStyle w:val="Compact"/>
              <w:jc w:val="left"/>
            </w:pPr>
            <w:r>
              <w:t xml:space="preserve">D0210</w:t>
            </w:r>
          </w:p>
        </w:tc>
        <w:tc>
          <w:tcPr/>
          <w:p>
            <w:pPr>
              <w:pStyle w:val="Compact"/>
              <w:jc w:val="left"/>
            </w:pPr>
            <w:r>
              <w:t xml:space="preserve">Intraoral - complete series (FMX)</w:t>
            </w:r>
          </w:p>
        </w:tc>
        <w:tc>
          <w:tcPr/>
          <w:p>
            <w:pPr>
              <w:pStyle w:val="Compact"/>
              <w:jc w:val="left"/>
            </w:pPr>
            <w:r>
              <w:t xml:space="preserve">Radiograph</w:t>
            </w:r>
          </w:p>
        </w:tc>
        <w:tc>
          <w:tcPr/>
          <w:p>
            <w:pPr>
              <w:pStyle w:val="Compact"/>
              <w:jc w:val="left"/>
            </w:pPr>
            <w:r>
              <w:t xml:space="preserve">$120-200</w:t>
            </w:r>
          </w:p>
        </w:tc>
        <w:tc>
          <w:tcPr/>
          <w:p>
            <w:pPr>
              <w:pStyle w:val="Compact"/>
              <w:jc w:val="left"/>
            </w:pPr>
            <w:r>
              <w:t xml:space="preserve">1x per 3-5 years</w:t>
            </w:r>
          </w:p>
        </w:tc>
      </w:tr>
      <w:tr>
        <w:tc>
          <w:tcPr/>
          <w:p>
            <w:pPr>
              <w:pStyle w:val="Compact"/>
              <w:jc w:val="left"/>
            </w:pPr>
            <w:r>
              <w:t xml:space="preserve">D0220</w:t>
            </w:r>
          </w:p>
        </w:tc>
        <w:tc>
          <w:tcPr/>
          <w:p>
            <w:pPr>
              <w:pStyle w:val="Compact"/>
              <w:jc w:val="left"/>
            </w:pPr>
            <w:r>
              <w:t xml:space="preserve">Intraoral - periapical first film</w:t>
            </w:r>
          </w:p>
        </w:tc>
        <w:tc>
          <w:tcPr/>
          <w:p>
            <w:pPr>
              <w:pStyle w:val="Compact"/>
              <w:jc w:val="left"/>
            </w:pPr>
            <w:r>
              <w:t xml:space="preserve">Radiograph</w:t>
            </w:r>
          </w:p>
        </w:tc>
        <w:tc>
          <w:tcPr/>
          <w:p>
            <w:pPr>
              <w:pStyle w:val="Compact"/>
              <w:jc w:val="left"/>
            </w:pPr>
            <w:r>
              <w:t xml:space="preserve">$25-40</w:t>
            </w:r>
          </w:p>
        </w:tc>
        <w:tc>
          <w:tcPr/>
          <w:p>
            <w:pPr>
              <w:pStyle w:val="Compact"/>
              <w:jc w:val="left"/>
            </w:pPr>
            <w:r>
              <w:t xml:space="preserve">As needed</w:t>
            </w:r>
          </w:p>
        </w:tc>
      </w:tr>
      <w:tr>
        <w:tc>
          <w:tcPr/>
          <w:p>
            <w:pPr>
              <w:pStyle w:val="Compact"/>
              <w:jc w:val="left"/>
            </w:pPr>
            <w:r>
              <w:t xml:space="preserve">D0272</w:t>
            </w:r>
          </w:p>
        </w:tc>
        <w:tc>
          <w:tcPr/>
          <w:p>
            <w:pPr>
              <w:pStyle w:val="Compact"/>
              <w:jc w:val="left"/>
            </w:pPr>
            <w:r>
              <w:t xml:space="preserve">Bitewings - two films</w:t>
            </w:r>
          </w:p>
        </w:tc>
        <w:tc>
          <w:tcPr/>
          <w:p>
            <w:pPr>
              <w:pStyle w:val="Compact"/>
              <w:jc w:val="left"/>
            </w:pPr>
            <w:r>
              <w:t xml:space="preserve">Radiograph</w:t>
            </w:r>
          </w:p>
        </w:tc>
        <w:tc>
          <w:tcPr/>
          <w:p>
            <w:pPr>
              <w:pStyle w:val="Compact"/>
              <w:jc w:val="left"/>
            </w:pPr>
            <w:r>
              <w:t xml:space="preserve">$50-75</w:t>
            </w:r>
          </w:p>
        </w:tc>
        <w:tc>
          <w:tcPr/>
          <w:p>
            <w:pPr>
              <w:pStyle w:val="Compact"/>
              <w:jc w:val="left"/>
            </w:pPr>
            <w:r>
              <w:t xml:space="preserve">2x per year</w:t>
            </w:r>
          </w:p>
        </w:tc>
      </w:tr>
      <w:tr>
        <w:tc>
          <w:tcPr/>
          <w:p>
            <w:pPr>
              <w:pStyle w:val="Compact"/>
              <w:jc w:val="left"/>
            </w:pPr>
            <w:r>
              <w:t xml:space="preserve">D0274</w:t>
            </w:r>
          </w:p>
        </w:tc>
        <w:tc>
          <w:tcPr/>
          <w:p>
            <w:pPr>
              <w:pStyle w:val="Compact"/>
              <w:jc w:val="left"/>
            </w:pPr>
            <w:r>
              <w:t xml:space="preserve">Bitewings - four films</w:t>
            </w:r>
          </w:p>
        </w:tc>
        <w:tc>
          <w:tcPr/>
          <w:p>
            <w:pPr>
              <w:pStyle w:val="Compact"/>
              <w:jc w:val="left"/>
            </w:pPr>
            <w:r>
              <w:t xml:space="preserve">Radiograph</w:t>
            </w:r>
          </w:p>
        </w:tc>
        <w:tc>
          <w:tcPr/>
          <w:p>
            <w:pPr>
              <w:pStyle w:val="Compact"/>
              <w:jc w:val="left"/>
            </w:pPr>
            <w:r>
              <w:t xml:space="preserve">$65-95</w:t>
            </w:r>
          </w:p>
        </w:tc>
        <w:tc>
          <w:tcPr/>
          <w:p>
            <w:pPr>
              <w:pStyle w:val="Compact"/>
              <w:jc w:val="left"/>
            </w:pPr>
            <w:r>
              <w:t xml:space="preserve">1x per year</w:t>
            </w:r>
          </w:p>
        </w:tc>
      </w:tr>
      <w:tr>
        <w:tc>
          <w:tcPr/>
          <w:p>
            <w:pPr>
              <w:pStyle w:val="Compact"/>
              <w:jc w:val="left"/>
            </w:pPr>
            <w:r>
              <w:t xml:space="preserve">D0330</w:t>
            </w:r>
          </w:p>
        </w:tc>
        <w:tc>
          <w:tcPr/>
          <w:p>
            <w:pPr>
              <w:pStyle w:val="Compact"/>
              <w:jc w:val="left"/>
            </w:pPr>
            <w:r>
              <w:t xml:space="preserve">Panoramic radiographic image</w:t>
            </w:r>
          </w:p>
        </w:tc>
        <w:tc>
          <w:tcPr/>
          <w:p>
            <w:pPr>
              <w:pStyle w:val="Compact"/>
              <w:jc w:val="left"/>
            </w:pPr>
            <w:r>
              <w:t xml:space="preserve">Radiograph</w:t>
            </w:r>
          </w:p>
        </w:tc>
        <w:tc>
          <w:tcPr/>
          <w:p>
            <w:pPr>
              <w:pStyle w:val="Compact"/>
              <w:jc w:val="left"/>
            </w:pPr>
            <w:r>
              <w:t xml:space="preserve">$100-150</w:t>
            </w:r>
          </w:p>
        </w:tc>
        <w:tc>
          <w:tcPr/>
          <w:p>
            <w:pPr>
              <w:pStyle w:val="Compact"/>
              <w:jc w:val="left"/>
            </w:pPr>
            <w:r>
              <w:t xml:space="preserve">1x per 3-5 years</w:t>
            </w:r>
          </w:p>
        </w:tc>
      </w:tr>
      <w:tr>
        <w:tc>
          <w:tcPr/>
          <w:p>
            <w:pPr>
              <w:pStyle w:val="Compact"/>
              <w:jc w:val="left"/>
            </w:pPr>
            <w:r>
              <w:t xml:space="preserve">D1110</w:t>
            </w:r>
          </w:p>
        </w:tc>
        <w:tc>
          <w:tcPr/>
          <w:p>
            <w:pPr>
              <w:pStyle w:val="Compact"/>
              <w:jc w:val="left"/>
            </w:pPr>
            <w:r>
              <w:t xml:space="preserve">Prophylaxis - adult</w:t>
            </w:r>
          </w:p>
        </w:tc>
        <w:tc>
          <w:tcPr/>
          <w:p>
            <w:pPr>
              <w:pStyle w:val="Compact"/>
              <w:jc w:val="left"/>
            </w:pPr>
            <w:r>
              <w:t xml:space="preserve">Preventive</w:t>
            </w:r>
          </w:p>
        </w:tc>
        <w:tc>
          <w:tcPr/>
          <w:p>
            <w:pPr>
              <w:pStyle w:val="Compact"/>
              <w:jc w:val="left"/>
            </w:pPr>
            <w:r>
              <w:t xml:space="preserve">$85-130</w:t>
            </w:r>
          </w:p>
        </w:tc>
        <w:tc>
          <w:tcPr/>
          <w:p>
            <w:pPr>
              <w:pStyle w:val="Compact"/>
              <w:jc w:val="left"/>
            </w:pPr>
            <w:r>
              <w:t xml:space="preserve">2x per year</w:t>
            </w:r>
          </w:p>
        </w:tc>
      </w:tr>
      <w:tr>
        <w:tc>
          <w:tcPr/>
          <w:p>
            <w:pPr>
              <w:pStyle w:val="Compact"/>
              <w:jc w:val="left"/>
            </w:pPr>
            <w:r>
              <w:t xml:space="preserve">D1120</w:t>
            </w:r>
          </w:p>
        </w:tc>
        <w:tc>
          <w:tcPr/>
          <w:p>
            <w:pPr>
              <w:pStyle w:val="Compact"/>
              <w:jc w:val="left"/>
            </w:pPr>
            <w:r>
              <w:t xml:space="preserve">Prophylaxis - child</w:t>
            </w:r>
          </w:p>
        </w:tc>
        <w:tc>
          <w:tcPr/>
          <w:p>
            <w:pPr>
              <w:pStyle w:val="Compact"/>
              <w:jc w:val="left"/>
            </w:pPr>
            <w:r>
              <w:t xml:space="preserve">Preventive</w:t>
            </w:r>
          </w:p>
        </w:tc>
        <w:tc>
          <w:tcPr/>
          <w:p>
            <w:pPr>
              <w:pStyle w:val="Compact"/>
              <w:jc w:val="left"/>
            </w:pPr>
            <w:r>
              <w:t xml:space="preserve">$60-90</w:t>
            </w:r>
          </w:p>
        </w:tc>
        <w:tc>
          <w:tcPr/>
          <w:p>
            <w:pPr>
              <w:pStyle w:val="Compact"/>
              <w:jc w:val="left"/>
            </w:pPr>
            <w:r>
              <w:t xml:space="preserve">2x per year</w:t>
            </w:r>
          </w:p>
        </w:tc>
      </w:tr>
      <w:tr>
        <w:tc>
          <w:tcPr/>
          <w:p>
            <w:pPr>
              <w:pStyle w:val="Compact"/>
              <w:jc w:val="left"/>
            </w:pPr>
            <w:r>
              <w:t xml:space="preserve">D1206</w:t>
            </w:r>
          </w:p>
        </w:tc>
        <w:tc>
          <w:tcPr/>
          <w:p>
            <w:pPr>
              <w:pStyle w:val="Compact"/>
              <w:jc w:val="left"/>
            </w:pPr>
            <w:r>
              <w:t xml:space="preserve">Topical fluoride varnish</w:t>
            </w:r>
          </w:p>
        </w:tc>
        <w:tc>
          <w:tcPr/>
          <w:p>
            <w:pPr>
              <w:pStyle w:val="Compact"/>
              <w:jc w:val="left"/>
            </w:pPr>
            <w:r>
              <w:t xml:space="preserve">Preventive</w:t>
            </w:r>
          </w:p>
        </w:tc>
        <w:tc>
          <w:tcPr/>
          <w:p>
            <w:pPr>
              <w:pStyle w:val="Compact"/>
              <w:jc w:val="left"/>
            </w:pPr>
            <w:r>
              <w:t xml:space="preserve">$30-50</w:t>
            </w:r>
          </w:p>
        </w:tc>
        <w:tc>
          <w:tcPr/>
          <w:p>
            <w:pPr>
              <w:pStyle w:val="Compact"/>
              <w:jc w:val="left"/>
            </w:pPr>
            <w:r>
              <w:t xml:space="preserve">2-4x per year (peds)</w:t>
            </w:r>
          </w:p>
        </w:tc>
      </w:tr>
      <w:tr>
        <w:tc>
          <w:tcPr/>
          <w:p>
            <w:pPr>
              <w:pStyle w:val="Compact"/>
              <w:jc w:val="left"/>
            </w:pPr>
            <w:r>
              <w:t xml:space="preserve">D1351</w:t>
            </w:r>
          </w:p>
        </w:tc>
        <w:tc>
          <w:tcPr/>
          <w:p>
            <w:pPr>
              <w:pStyle w:val="Compact"/>
              <w:jc w:val="left"/>
            </w:pPr>
            <w:r>
              <w:t xml:space="preserve">Sealant - per tooth</w:t>
            </w:r>
          </w:p>
        </w:tc>
        <w:tc>
          <w:tcPr/>
          <w:p>
            <w:pPr>
              <w:pStyle w:val="Compact"/>
              <w:jc w:val="left"/>
            </w:pPr>
            <w:r>
              <w:t xml:space="preserve">Preventive</w:t>
            </w:r>
          </w:p>
        </w:tc>
        <w:tc>
          <w:tcPr/>
          <w:p>
            <w:pPr>
              <w:pStyle w:val="Compact"/>
              <w:jc w:val="left"/>
            </w:pPr>
            <w:r>
              <w:t xml:space="preserve">$40-60</w:t>
            </w:r>
          </w:p>
        </w:tc>
        <w:tc>
          <w:tcPr/>
          <w:p>
            <w:pPr>
              <w:pStyle w:val="Compact"/>
              <w:jc w:val="left"/>
            </w:pPr>
            <w:r>
              <w:t xml:space="preserve">1x per tooth</w:t>
            </w:r>
          </w:p>
        </w:tc>
      </w:tr>
      <w:tr>
        <w:tc>
          <w:tcPr/>
          <w:p>
            <w:pPr>
              <w:pStyle w:val="Compact"/>
              <w:jc w:val="left"/>
            </w:pPr>
            <w:r>
              <w:t xml:space="preserve">D2140</w:t>
            </w:r>
          </w:p>
        </w:tc>
        <w:tc>
          <w:tcPr/>
          <w:p>
            <w:pPr>
              <w:pStyle w:val="Compact"/>
              <w:jc w:val="left"/>
            </w:pPr>
            <w:r>
              <w:t xml:space="preserve">Amalgam - one surface, primary</w:t>
            </w:r>
          </w:p>
        </w:tc>
        <w:tc>
          <w:tcPr/>
          <w:p>
            <w:pPr>
              <w:pStyle w:val="Compact"/>
              <w:jc w:val="left"/>
            </w:pPr>
            <w:r>
              <w:t xml:space="preserve">Restorative</w:t>
            </w:r>
          </w:p>
        </w:tc>
        <w:tc>
          <w:tcPr/>
          <w:p>
            <w:pPr>
              <w:pStyle w:val="Compact"/>
              <w:jc w:val="left"/>
            </w:pPr>
            <w:r>
              <w:t xml:space="preserve">$150-200</w:t>
            </w:r>
          </w:p>
        </w:tc>
        <w:tc>
          <w:tcPr/>
          <w:p>
            <w:pPr>
              <w:pStyle w:val="Compact"/>
              <w:jc w:val="left"/>
            </w:pPr>
            <w:r>
              <w:t xml:space="preserve">1x per surface per 2y</w:t>
            </w:r>
          </w:p>
        </w:tc>
      </w:tr>
      <w:tr>
        <w:tc>
          <w:tcPr/>
          <w:p>
            <w:pPr>
              <w:pStyle w:val="Compact"/>
              <w:jc w:val="left"/>
            </w:pPr>
            <w:r>
              <w:t xml:space="preserve">D2150</w:t>
            </w:r>
          </w:p>
        </w:tc>
        <w:tc>
          <w:tcPr/>
          <w:p>
            <w:pPr>
              <w:pStyle w:val="Compact"/>
              <w:jc w:val="left"/>
            </w:pPr>
            <w:r>
              <w:t xml:space="preserve">Amalgam - two surfaces, primary</w:t>
            </w:r>
          </w:p>
        </w:tc>
        <w:tc>
          <w:tcPr/>
          <w:p>
            <w:pPr>
              <w:pStyle w:val="Compact"/>
              <w:jc w:val="left"/>
            </w:pPr>
            <w:r>
              <w:t xml:space="preserve">Restorative</w:t>
            </w:r>
          </w:p>
        </w:tc>
        <w:tc>
          <w:tcPr/>
          <w:p>
            <w:pPr>
              <w:pStyle w:val="Compact"/>
              <w:jc w:val="left"/>
            </w:pPr>
            <w:r>
              <w:t xml:space="preserve">$185-250</w:t>
            </w:r>
          </w:p>
        </w:tc>
        <w:tc>
          <w:tcPr/>
          <w:p>
            <w:pPr>
              <w:pStyle w:val="Compact"/>
              <w:jc w:val="left"/>
            </w:pPr>
            <w:r>
              <w:t xml:space="preserve">1x per surface per 2y</w:t>
            </w:r>
          </w:p>
        </w:tc>
      </w:tr>
      <w:tr>
        <w:tc>
          <w:tcPr/>
          <w:p>
            <w:pPr>
              <w:pStyle w:val="Compact"/>
              <w:jc w:val="left"/>
            </w:pPr>
            <w:r>
              <w:t xml:space="preserve">D2330</w:t>
            </w:r>
          </w:p>
        </w:tc>
        <w:tc>
          <w:tcPr/>
          <w:p>
            <w:pPr>
              <w:pStyle w:val="Compact"/>
              <w:jc w:val="left"/>
            </w:pPr>
            <w:r>
              <w:t xml:space="preserve">Resin composite - one surface, anterior</w:t>
            </w:r>
          </w:p>
        </w:tc>
        <w:tc>
          <w:tcPr/>
          <w:p>
            <w:pPr>
              <w:pStyle w:val="Compact"/>
              <w:jc w:val="left"/>
            </w:pPr>
            <w:r>
              <w:t xml:space="preserve">Restorative</w:t>
            </w:r>
          </w:p>
        </w:tc>
        <w:tc>
          <w:tcPr/>
          <w:p>
            <w:pPr>
              <w:pStyle w:val="Compact"/>
              <w:jc w:val="left"/>
            </w:pPr>
            <w:r>
              <w:t xml:space="preserve">$165-225</w:t>
            </w:r>
          </w:p>
        </w:tc>
        <w:tc>
          <w:tcPr/>
          <w:p>
            <w:pPr>
              <w:pStyle w:val="Compact"/>
              <w:jc w:val="left"/>
            </w:pPr>
            <w:r>
              <w:t xml:space="preserve">1x per surface per 2y</w:t>
            </w:r>
          </w:p>
        </w:tc>
      </w:tr>
      <w:tr>
        <w:tc>
          <w:tcPr/>
          <w:p>
            <w:pPr>
              <w:pStyle w:val="Compact"/>
              <w:jc w:val="left"/>
            </w:pPr>
            <w:r>
              <w:t xml:space="preserve">D2331</w:t>
            </w:r>
          </w:p>
        </w:tc>
        <w:tc>
          <w:tcPr/>
          <w:p>
            <w:pPr>
              <w:pStyle w:val="Compact"/>
              <w:jc w:val="left"/>
            </w:pPr>
            <w:r>
              <w:t xml:space="preserve">Resin composite - two surfaces, anterior</w:t>
            </w:r>
          </w:p>
        </w:tc>
        <w:tc>
          <w:tcPr/>
          <w:p>
            <w:pPr>
              <w:pStyle w:val="Compact"/>
              <w:jc w:val="left"/>
            </w:pPr>
            <w:r>
              <w:t xml:space="preserve">Restorative</w:t>
            </w:r>
          </w:p>
        </w:tc>
        <w:tc>
          <w:tcPr/>
          <w:p>
            <w:pPr>
              <w:pStyle w:val="Compact"/>
              <w:jc w:val="left"/>
            </w:pPr>
            <w:r>
              <w:t xml:space="preserve">$200-275</w:t>
            </w:r>
          </w:p>
        </w:tc>
        <w:tc>
          <w:tcPr/>
          <w:p>
            <w:pPr>
              <w:pStyle w:val="Compact"/>
              <w:jc w:val="left"/>
            </w:pPr>
            <w:r>
              <w:t xml:space="preserve">1x per surface per 2y</w:t>
            </w:r>
          </w:p>
        </w:tc>
      </w:tr>
      <w:tr>
        <w:tc>
          <w:tcPr/>
          <w:p>
            <w:pPr>
              <w:pStyle w:val="Compact"/>
              <w:jc w:val="left"/>
            </w:pPr>
            <w:r>
              <w:t xml:space="preserve">D2391</w:t>
            </w:r>
          </w:p>
        </w:tc>
        <w:tc>
          <w:tcPr/>
          <w:p>
            <w:pPr>
              <w:pStyle w:val="Compact"/>
              <w:jc w:val="left"/>
            </w:pPr>
            <w:r>
              <w:t xml:space="preserve">Resin composite - one surface, posterior</w:t>
            </w:r>
          </w:p>
        </w:tc>
        <w:tc>
          <w:tcPr/>
          <w:p>
            <w:pPr>
              <w:pStyle w:val="Compact"/>
              <w:jc w:val="left"/>
            </w:pPr>
            <w:r>
              <w:t xml:space="preserve">Restorative</w:t>
            </w:r>
          </w:p>
        </w:tc>
        <w:tc>
          <w:tcPr/>
          <w:p>
            <w:pPr>
              <w:pStyle w:val="Compact"/>
              <w:jc w:val="left"/>
            </w:pPr>
            <w:r>
              <w:t xml:space="preserve">$175-250</w:t>
            </w:r>
          </w:p>
        </w:tc>
        <w:tc>
          <w:tcPr/>
          <w:p>
            <w:pPr>
              <w:pStyle w:val="Compact"/>
              <w:jc w:val="left"/>
            </w:pPr>
            <w:r>
              <w:t xml:space="preserve">1x per surface per 2y</w:t>
            </w:r>
          </w:p>
        </w:tc>
      </w:tr>
      <w:tr>
        <w:tc>
          <w:tcPr/>
          <w:p>
            <w:pPr>
              <w:pStyle w:val="Compact"/>
              <w:jc w:val="left"/>
            </w:pPr>
            <w:r>
              <w:t xml:space="preserve">D2740</w:t>
            </w:r>
          </w:p>
        </w:tc>
        <w:tc>
          <w:tcPr/>
          <w:p>
            <w:pPr>
              <w:pStyle w:val="Compact"/>
              <w:jc w:val="left"/>
            </w:pPr>
            <w:r>
              <w:t xml:space="preserve">Crown - porcelain/ceramic substrate</w:t>
            </w:r>
          </w:p>
        </w:tc>
        <w:tc>
          <w:tcPr/>
          <w:p>
            <w:pPr>
              <w:pStyle w:val="Compact"/>
              <w:jc w:val="left"/>
            </w:pPr>
            <w:r>
              <w:t xml:space="preserve">Restorative</w:t>
            </w:r>
          </w:p>
        </w:tc>
        <w:tc>
          <w:tcPr/>
          <w:p>
            <w:pPr>
              <w:pStyle w:val="Compact"/>
              <w:jc w:val="left"/>
            </w:pPr>
            <w:r>
              <w:t xml:space="preserve">$900-1,400</w:t>
            </w:r>
          </w:p>
        </w:tc>
        <w:tc>
          <w:tcPr/>
          <w:p>
            <w:pPr>
              <w:pStyle w:val="Compact"/>
              <w:jc w:val="left"/>
            </w:pPr>
            <w:r>
              <w:t xml:space="preserve">1x per tooth per 5y</w:t>
            </w:r>
          </w:p>
        </w:tc>
      </w:tr>
      <w:tr>
        <w:tc>
          <w:tcPr/>
          <w:p>
            <w:pPr>
              <w:pStyle w:val="Compact"/>
              <w:jc w:val="left"/>
            </w:pPr>
            <w:r>
              <w:t xml:space="preserve">D2750</w:t>
            </w:r>
          </w:p>
        </w:tc>
        <w:tc>
          <w:tcPr/>
          <w:p>
            <w:pPr>
              <w:pStyle w:val="Compact"/>
              <w:jc w:val="left"/>
            </w:pPr>
            <w:r>
              <w:t xml:space="preserve">Crown - porcelain fused to high noble</w:t>
            </w:r>
          </w:p>
        </w:tc>
        <w:tc>
          <w:tcPr/>
          <w:p>
            <w:pPr>
              <w:pStyle w:val="Compact"/>
              <w:jc w:val="left"/>
            </w:pPr>
            <w:r>
              <w:t xml:space="preserve">Restorative</w:t>
            </w:r>
          </w:p>
        </w:tc>
        <w:tc>
          <w:tcPr/>
          <w:p>
            <w:pPr>
              <w:pStyle w:val="Compact"/>
              <w:jc w:val="left"/>
            </w:pPr>
            <w:r>
              <w:t xml:space="preserve">$950-1,500</w:t>
            </w:r>
          </w:p>
        </w:tc>
        <w:tc>
          <w:tcPr/>
          <w:p>
            <w:pPr>
              <w:pStyle w:val="Compact"/>
              <w:jc w:val="left"/>
            </w:pPr>
            <w:r>
              <w:t xml:space="preserve">1x per tooth per 5y</w:t>
            </w:r>
          </w:p>
        </w:tc>
      </w:tr>
      <w:tr>
        <w:tc>
          <w:tcPr/>
          <w:p>
            <w:pPr>
              <w:pStyle w:val="Compact"/>
              <w:jc w:val="left"/>
            </w:pPr>
            <w:r>
              <w:t xml:space="preserve">D2950</w:t>
            </w:r>
          </w:p>
        </w:tc>
        <w:tc>
          <w:tcPr/>
          <w:p>
            <w:pPr>
              <w:pStyle w:val="Compact"/>
              <w:jc w:val="left"/>
            </w:pPr>
            <w:r>
              <w:t xml:space="preserve">Core buildup, including pins</w:t>
            </w:r>
          </w:p>
        </w:tc>
        <w:tc>
          <w:tcPr/>
          <w:p>
            <w:pPr>
              <w:pStyle w:val="Compact"/>
              <w:jc w:val="left"/>
            </w:pPr>
            <w:r>
              <w:t xml:space="preserve">Restorative</w:t>
            </w:r>
          </w:p>
        </w:tc>
        <w:tc>
          <w:tcPr/>
          <w:p>
            <w:pPr>
              <w:pStyle w:val="Compact"/>
              <w:jc w:val="left"/>
            </w:pPr>
            <w:r>
              <w:t xml:space="preserve">$250-350</w:t>
            </w:r>
          </w:p>
        </w:tc>
        <w:tc>
          <w:tcPr/>
          <w:p>
            <w:pPr>
              <w:pStyle w:val="Compact"/>
              <w:jc w:val="left"/>
            </w:pPr>
            <w:r>
              <w:t xml:space="preserve">1x per tooth</w:t>
            </w:r>
          </w:p>
        </w:tc>
      </w:tr>
      <w:tr>
        <w:tc>
          <w:tcPr/>
          <w:p>
            <w:pPr>
              <w:pStyle w:val="Compact"/>
              <w:jc w:val="left"/>
            </w:pPr>
            <w:r>
              <w:t xml:space="preserve">D3310</w:t>
            </w:r>
          </w:p>
        </w:tc>
        <w:tc>
          <w:tcPr/>
          <w:p>
            <w:pPr>
              <w:pStyle w:val="Compact"/>
              <w:jc w:val="left"/>
            </w:pPr>
            <w:r>
              <w:t xml:space="preserve">Endodontic therapy, anterior</w:t>
            </w:r>
          </w:p>
        </w:tc>
        <w:tc>
          <w:tcPr/>
          <w:p>
            <w:pPr>
              <w:pStyle w:val="Compact"/>
              <w:jc w:val="left"/>
            </w:pPr>
            <w:r>
              <w:t xml:space="preserve">Endodontic</w:t>
            </w:r>
          </w:p>
        </w:tc>
        <w:tc>
          <w:tcPr/>
          <w:p>
            <w:pPr>
              <w:pStyle w:val="Compact"/>
              <w:jc w:val="left"/>
            </w:pPr>
            <w:r>
              <w:t xml:space="preserve">$700-1,000</w:t>
            </w:r>
          </w:p>
        </w:tc>
        <w:tc>
          <w:tcPr/>
          <w:p>
            <w:pPr>
              <w:pStyle w:val="Compact"/>
              <w:jc w:val="left"/>
            </w:pPr>
            <w:r>
              <w:t xml:space="preserve">1x per tooth</w:t>
            </w:r>
          </w:p>
        </w:tc>
      </w:tr>
      <w:tr>
        <w:tc>
          <w:tcPr/>
          <w:p>
            <w:pPr>
              <w:pStyle w:val="Compact"/>
              <w:jc w:val="left"/>
            </w:pPr>
            <w:r>
              <w:t xml:space="preserve">D3320</w:t>
            </w:r>
          </w:p>
        </w:tc>
        <w:tc>
          <w:tcPr/>
          <w:p>
            <w:pPr>
              <w:pStyle w:val="Compact"/>
              <w:jc w:val="left"/>
            </w:pPr>
            <w:r>
              <w:t xml:space="preserve">Endodontic therapy, bicuspid</w:t>
            </w:r>
          </w:p>
        </w:tc>
        <w:tc>
          <w:tcPr/>
          <w:p>
            <w:pPr>
              <w:pStyle w:val="Compact"/>
              <w:jc w:val="left"/>
            </w:pPr>
            <w:r>
              <w:t xml:space="preserve">Endodontic</w:t>
            </w:r>
          </w:p>
        </w:tc>
        <w:tc>
          <w:tcPr/>
          <w:p>
            <w:pPr>
              <w:pStyle w:val="Compact"/>
              <w:jc w:val="left"/>
            </w:pPr>
            <w:r>
              <w:t xml:space="preserve">$800-1,100</w:t>
            </w:r>
          </w:p>
        </w:tc>
        <w:tc>
          <w:tcPr/>
          <w:p>
            <w:pPr>
              <w:pStyle w:val="Compact"/>
              <w:jc w:val="left"/>
            </w:pPr>
            <w:r>
              <w:t xml:space="preserve">1x per tooth</w:t>
            </w:r>
          </w:p>
        </w:tc>
      </w:tr>
      <w:tr>
        <w:tc>
          <w:tcPr/>
          <w:p>
            <w:pPr>
              <w:pStyle w:val="Compact"/>
              <w:jc w:val="left"/>
            </w:pPr>
            <w:r>
              <w:t xml:space="preserve">D3330</w:t>
            </w:r>
          </w:p>
        </w:tc>
        <w:tc>
          <w:tcPr/>
          <w:p>
            <w:pPr>
              <w:pStyle w:val="Compact"/>
              <w:jc w:val="left"/>
            </w:pPr>
            <w:r>
              <w:t xml:space="preserve">Endodontic therapy, molar</w:t>
            </w:r>
          </w:p>
        </w:tc>
        <w:tc>
          <w:tcPr/>
          <w:p>
            <w:pPr>
              <w:pStyle w:val="Compact"/>
              <w:jc w:val="left"/>
            </w:pPr>
            <w:r>
              <w:t xml:space="preserve">Endodontic</w:t>
            </w:r>
          </w:p>
        </w:tc>
        <w:tc>
          <w:tcPr/>
          <w:p>
            <w:pPr>
              <w:pStyle w:val="Compact"/>
              <w:jc w:val="left"/>
            </w:pPr>
            <w:r>
              <w:t xml:space="preserve">$1,000-1,400</w:t>
            </w:r>
          </w:p>
        </w:tc>
        <w:tc>
          <w:tcPr/>
          <w:p>
            <w:pPr>
              <w:pStyle w:val="Compact"/>
              <w:jc w:val="left"/>
            </w:pPr>
            <w:r>
              <w:t xml:space="preserve">1x per tooth</w:t>
            </w:r>
          </w:p>
        </w:tc>
      </w:tr>
      <w:tr>
        <w:tc>
          <w:tcPr/>
          <w:p>
            <w:pPr>
              <w:pStyle w:val="Compact"/>
              <w:jc w:val="left"/>
            </w:pPr>
            <w:r>
              <w:t xml:space="preserve">D4341</w:t>
            </w:r>
          </w:p>
        </w:tc>
        <w:tc>
          <w:tcPr/>
          <w:p>
            <w:pPr>
              <w:pStyle w:val="Compact"/>
              <w:jc w:val="left"/>
            </w:pPr>
            <w:r>
              <w:t xml:space="preserve">Periodontal scaling/root planing (per quad)</w:t>
            </w:r>
          </w:p>
        </w:tc>
        <w:tc>
          <w:tcPr/>
          <w:p>
            <w:pPr>
              <w:pStyle w:val="Compact"/>
              <w:jc w:val="left"/>
            </w:pPr>
            <w:r>
              <w:t xml:space="preserve">Periodontic</w:t>
            </w:r>
          </w:p>
        </w:tc>
        <w:tc>
          <w:tcPr/>
          <w:p>
            <w:pPr>
              <w:pStyle w:val="Compact"/>
              <w:jc w:val="left"/>
            </w:pPr>
            <w:r>
              <w:t xml:space="preserve">$225-350</w:t>
            </w:r>
          </w:p>
        </w:tc>
        <w:tc>
          <w:tcPr/>
          <w:p>
            <w:pPr>
              <w:pStyle w:val="Compact"/>
              <w:jc w:val="left"/>
            </w:pPr>
            <w:r>
              <w:t xml:space="preserve">1x per quad per 2y</w:t>
            </w:r>
          </w:p>
        </w:tc>
      </w:tr>
      <w:tr>
        <w:tc>
          <w:tcPr/>
          <w:p>
            <w:pPr>
              <w:pStyle w:val="Compact"/>
              <w:jc w:val="left"/>
            </w:pPr>
            <w:r>
              <w:t xml:space="preserve">D4910</w:t>
            </w:r>
          </w:p>
        </w:tc>
        <w:tc>
          <w:tcPr/>
          <w:p>
            <w:pPr>
              <w:pStyle w:val="Compact"/>
              <w:jc w:val="left"/>
            </w:pPr>
            <w:r>
              <w:t xml:space="preserve">Periodontal maintenance</w:t>
            </w:r>
          </w:p>
        </w:tc>
        <w:tc>
          <w:tcPr/>
          <w:p>
            <w:pPr>
              <w:pStyle w:val="Compact"/>
              <w:jc w:val="left"/>
            </w:pPr>
            <w:r>
              <w:t xml:space="preserve">Periodontic</w:t>
            </w:r>
          </w:p>
        </w:tc>
        <w:tc>
          <w:tcPr/>
          <w:p>
            <w:pPr>
              <w:pStyle w:val="Compact"/>
              <w:jc w:val="left"/>
            </w:pPr>
            <w:r>
              <w:t xml:space="preserve">$130-180</w:t>
            </w:r>
          </w:p>
        </w:tc>
        <w:tc>
          <w:tcPr/>
          <w:p>
            <w:pPr>
              <w:pStyle w:val="Compact"/>
              <w:jc w:val="left"/>
            </w:pPr>
            <w:r>
              <w:t xml:space="preserve">3-4x per year</w:t>
            </w:r>
          </w:p>
        </w:tc>
      </w:tr>
      <w:tr>
        <w:tc>
          <w:tcPr/>
          <w:p>
            <w:pPr>
              <w:pStyle w:val="Compact"/>
              <w:jc w:val="left"/>
            </w:pPr>
            <w:r>
              <w:t xml:space="preserve">D5110</w:t>
            </w:r>
          </w:p>
        </w:tc>
        <w:tc>
          <w:tcPr/>
          <w:p>
            <w:pPr>
              <w:pStyle w:val="Compact"/>
              <w:jc w:val="left"/>
            </w:pPr>
            <w:r>
              <w:t xml:space="preserve">Complete denture - maxillary</w:t>
            </w:r>
          </w:p>
        </w:tc>
        <w:tc>
          <w:tcPr/>
          <w:p>
            <w:pPr>
              <w:pStyle w:val="Compact"/>
              <w:jc w:val="left"/>
            </w:pPr>
            <w:r>
              <w:t xml:space="preserve">Prosthodontic</w:t>
            </w:r>
          </w:p>
        </w:tc>
        <w:tc>
          <w:tcPr/>
          <w:p>
            <w:pPr>
              <w:pStyle w:val="Compact"/>
              <w:jc w:val="left"/>
            </w:pPr>
            <w:r>
              <w:t xml:space="preserve">$1,500-2,500</w:t>
            </w:r>
          </w:p>
        </w:tc>
        <w:tc>
          <w:tcPr/>
          <w:p>
            <w:pPr>
              <w:pStyle w:val="Compact"/>
              <w:jc w:val="left"/>
            </w:pPr>
            <w:r>
              <w:t xml:space="preserve">1x per 5-8 years</w:t>
            </w:r>
          </w:p>
        </w:tc>
      </w:tr>
      <w:tr>
        <w:tc>
          <w:tcPr/>
          <w:p>
            <w:pPr>
              <w:pStyle w:val="Compact"/>
              <w:jc w:val="left"/>
            </w:pPr>
            <w:r>
              <w:t xml:space="preserve">D5120</w:t>
            </w:r>
          </w:p>
        </w:tc>
        <w:tc>
          <w:tcPr/>
          <w:p>
            <w:pPr>
              <w:pStyle w:val="Compact"/>
              <w:jc w:val="left"/>
            </w:pPr>
            <w:r>
              <w:t xml:space="preserve">Complete denture - mandibular</w:t>
            </w:r>
          </w:p>
        </w:tc>
        <w:tc>
          <w:tcPr/>
          <w:p>
            <w:pPr>
              <w:pStyle w:val="Compact"/>
              <w:jc w:val="left"/>
            </w:pPr>
            <w:r>
              <w:t xml:space="preserve">Prosthodontic</w:t>
            </w:r>
          </w:p>
        </w:tc>
        <w:tc>
          <w:tcPr/>
          <w:p>
            <w:pPr>
              <w:pStyle w:val="Compact"/>
              <w:jc w:val="left"/>
            </w:pPr>
            <w:r>
              <w:t xml:space="preserve">$1,500-2,500</w:t>
            </w:r>
          </w:p>
        </w:tc>
        <w:tc>
          <w:tcPr/>
          <w:p>
            <w:pPr>
              <w:pStyle w:val="Compact"/>
              <w:jc w:val="left"/>
            </w:pPr>
            <w:r>
              <w:t xml:space="preserve">1x per 5-8 years</w:t>
            </w:r>
          </w:p>
        </w:tc>
      </w:tr>
      <w:tr>
        <w:tc>
          <w:tcPr/>
          <w:p>
            <w:pPr>
              <w:pStyle w:val="Compact"/>
              <w:jc w:val="left"/>
            </w:pPr>
            <w:r>
              <w:t xml:space="preserve">D7140</w:t>
            </w:r>
          </w:p>
        </w:tc>
        <w:tc>
          <w:tcPr/>
          <w:p>
            <w:pPr>
              <w:pStyle w:val="Compact"/>
              <w:jc w:val="left"/>
            </w:pPr>
            <w:r>
              <w:t xml:space="preserve">Extraction, erupted tooth</w:t>
            </w:r>
          </w:p>
        </w:tc>
        <w:tc>
          <w:tcPr/>
          <w:p>
            <w:pPr>
              <w:pStyle w:val="Compact"/>
              <w:jc w:val="left"/>
            </w:pPr>
            <w:r>
              <w:t xml:space="preserve">Oral Surgery</w:t>
            </w:r>
          </w:p>
        </w:tc>
        <w:tc>
          <w:tcPr/>
          <w:p>
            <w:pPr>
              <w:pStyle w:val="Compact"/>
              <w:jc w:val="left"/>
            </w:pPr>
            <w:r>
              <w:t xml:space="preserve">$150-250</w:t>
            </w:r>
          </w:p>
        </w:tc>
        <w:tc>
          <w:tcPr/>
          <w:p>
            <w:pPr>
              <w:pStyle w:val="Compact"/>
              <w:jc w:val="left"/>
            </w:pPr>
            <w:r>
              <w:t xml:space="preserve">1x per tooth</w:t>
            </w:r>
          </w:p>
        </w:tc>
      </w:tr>
      <w:tr>
        <w:tc>
          <w:tcPr/>
          <w:p>
            <w:pPr>
              <w:pStyle w:val="Compact"/>
              <w:jc w:val="left"/>
            </w:pPr>
            <w:r>
              <w:t xml:space="preserve">D7210</w:t>
            </w:r>
          </w:p>
        </w:tc>
        <w:tc>
          <w:tcPr/>
          <w:p>
            <w:pPr>
              <w:pStyle w:val="Compact"/>
              <w:jc w:val="left"/>
            </w:pPr>
            <w:r>
              <w:t xml:space="preserve">Surgical extraction</w:t>
            </w:r>
          </w:p>
        </w:tc>
        <w:tc>
          <w:tcPr/>
          <w:p>
            <w:pPr>
              <w:pStyle w:val="Compact"/>
              <w:jc w:val="left"/>
            </w:pPr>
            <w:r>
              <w:t xml:space="preserve">Oral Surgery</w:t>
            </w:r>
          </w:p>
        </w:tc>
        <w:tc>
          <w:tcPr/>
          <w:p>
            <w:pPr>
              <w:pStyle w:val="Compact"/>
              <w:jc w:val="left"/>
            </w:pPr>
            <w:r>
              <w:t xml:space="preserve">$250-450</w:t>
            </w:r>
          </w:p>
        </w:tc>
        <w:tc>
          <w:tcPr/>
          <w:p>
            <w:pPr>
              <w:pStyle w:val="Compact"/>
              <w:jc w:val="left"/>
            </w:pPr>
            <w:r>
              <w:t xml:space="preserve">1x per tooth</w:t>
            </w:r>
          </w:p>
        </w:tc>
      </w:tr>
      <w:tr>
        <w:tc>
          <w:tcPr/>
          <w:p>
            <w:pPr>
              <w:pStyle w:val="Compact"/>
              <w:jc w:val="left"/>
            </w:pPr>
            <w:r>
              <w:t xml:space="preserve">D7240</w:t>
            </w:r>
          </w:p>
        </w:tc>
        <w:tc>
          <w:tcPr/>
          <w:p>
            <w:pPr>
              <w:pStyle w:val="Compact"/>
              <w:jc w:val="left"/>
            </w:pPr>
            <w:r>
              <w:t xml:space="preserve">Surgical extraction - impacted tooth</w:t>
            </w:r>
          </w:p>
        </w:tc>
        <w:tc>
          <w:tcPr/>
          <w:p>
            <w:pPr>
              <w:pStyle w:val="Compact"/>
              <w:jc w:val="left"/>
            </w:pPr>
            <w:r>
              <w:t xml:space="preserve">Oral Surgery</w:t>
            </w:r>
          </w:p>
        </w:tc>
        <w:tc>
          <w:tcPr/>
          <w:p>
            <w:pPr>
              <w:pStyle w:val="Compact"/>
              <w:jc w:val="left"/>
            </w:pPr>
            <w:r>
              <w:t xml:space="preserve">$350-600</w:t>
            </w:r>
          </w:p>
        </w:tc>
        <w:tc>
          <w:tcPr/>
          <w:p>
            <w:pPr>
              <w:pStyle w:val="Compact"/>
              <w:jc w:val="left"/>
            </w:pPr>
            <w:r>
              <w:t xml:space="preserve">1x per tooth</w:t>
            </w:r>
          </w:p>
        </w:tc>
      </w:tr>
      <w:tr>
        <w:tc>
          <w:tcPr/>
          <w:p>
            <w:pPr>
              <w:pStyle w:val="Compact"/>
              <w:jc w:val="left"/>
            </w:pPr>
            <w:r>
              <w:t xml:space="preserve">D9110</w:t>
            </w:r>
          </w:p>
        </w:tc>
        <w:tc>
          <w:tcPr/>
          <w:p>
            <w:pPr>
              <w:pStyle w:val="Compact"/>
              <w:jc w:val="left"/>
            </w:pPr>
            <w:r>
              <w:t xml:space="preserve">Palliative treatment of dental pain</w:t>
            </w:r>
          </w:p>
        </w:tc>
        <w:tc>
          <w:tcPr/>
          <w:p>
            <w:pPr>
              <w:pStyle w:val="Compact"/>
              <w:jc w:val="left"/>
            </w:pPr>
            <w:r>
              <w:t xml:space="preserve">Adjunctive</w:t>
            </w:r>
          </w:p>
        </w:tc>
        <w:tc>
          <w:tcPr/>
          <w:p>
            <w:pPr>
              <w:pStyle w:val="Compact"/>
              <w:jc w:val="left"/>
            </w:pPr>
            <w:r>
              <w:t xml:space="preserve">$100-175</w:t>
            </w:r>
          </w:p>
        </w:tc>
        <w:tc>
          <w:tcPr/>
          <w:p>
            <w:pPr>
              <w:pStyle w:val="Compact"/>
              <w:jc w:val="left"/>
            </w:pPr>
            <w:r>
              <w:t xml:space="preserve">As needed</w:t>
            </w:r>
          </w:p>
        </w:tc>
      </w:tr>
      <w:tr>
        <w:tc>
          <w:tcPr/>
          <w:p>
            <w:pPr>
              <w:pStyle w:val="Compact"/>
              <w:jc w:val="left"/>
            </w:pPr>
            <w:r>
              <w:t xml:space="preserve">D9230</w:t>
            </w:r>
          </w:p>
        </w:tc>
        <w:tc>
          <w:tcPr/>
          <w:p>
            <w:pPr>
              <w:pStyle w:val="Compact"/>
              <w:jc w:val="left"/>
            </w:pPr>
            <w:r>
              <w:t xml:space="preserve">Inhalation of nitrous oxide</w:t>
            </w:r>
          </w:p>
        </w:tc>
        <w:tc>
          <w:tcPr/>
          <w:p>
            <w:pPr>
              <w:pStyle w:val="Compact"/>
              <w:jc w:val="left"/>
            </w:pPr>
            <w:r>
              <w:t xml:space="preserve">Adjunctive</w:t>
            </w:r>
          </w:p>
        </w:tc>
        <w:tc>
          <w:tcPr/>
          <w:p>
            <w:pPr>
              <w:pStyle w:val="Compact"/>
              <w:jc w:val="left"/>
            </w:pPr>
            <w:r>
              <w:t xml:space="preserve">$50-100</w:t>
            </w:r>
          </w:p>
        </w:tc>
        <w:tc>
          <w:tcPr/>
          <w:p>
            <w:pPr>
              <w:pStyle w:val="Compact"/>
              <w:jc w:val="left"/>
            </w:pPr>
            <w:r>
              <w:t xml:space="preserve">Per visit</w:t>
            </w:r>
          </w:p>
        </w:tc>
      </w:tr>
    </w:tbl>
    <w:p>
      <w:pPr>
        <w:pStyle w:val="BodyText"/>
      </w:pPr>
      <w:r>
        <w:t xml:space="preserve">For the complete ADA CDT code reference, see</w:t>
      </w:r>
      <w:r>
        <w:t xml:space="preserve"> </w:t>
      </w:r>
      <w:hyperlink r:id="rId31">
        <w:r>
          <w:rPr>
            <w:rStyle w:val="Hyperlink"/>
          </w:rPr>
          <w:t xml:space="preserve">ADA_Treatment_Codes_Reference.md</w:t>
        </w:r>
      </w:hyperlink>
      <w:r>
        <w:t xml:space="preserve">.</w:t>
      </w:r>
    </w:p>
    <w:p>
      <w:r>
        <w:pict>
          <v:rect style="width:0;height:1.5pt" o:hralign="center" o:hrstd="t" o:hr="t"/>
        </w:pict>
      </w:r>
    </w:p>
    <w:bookmarkEnd w:id="32"/>
    <w:bookmarkEnd w:id="33"/>
    <w:bookmarkStart w:id="37" w:name="financial-business-rules"/>
    <w:p>
      <w:pPr>
        <w:pStyle w:val="Heading2"/>
      </w:pPr>
      <w:r>
        <w:t xml:space="preserve">4. Financial Business Rules</w:t>
      </w:r>
    </w:p>
    <w:bookmarkStart w:id="34" w:name="fee-schedule-management"/>
    <w:p>
      <w:pPr>
        <w:pStyle w:val="Heading3"/>
      </w:pPr>
      <w:r>
        <w:t xml:space="preserve">4.1 Fee Schedule Management</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FEE-001</w:t>
            </w:r>
          </w:p>
        </w:tc>
        <w:tc>
          <w:tcPr/>
          <w:p>
            <w:pPr>
              <w:pStyle w:val="Compact"/>
              <w:jc w:val="left"/>
            </w:pPr>
            <w:r>
              <w:t xml:space="preserve">Each clinic location may have a different UCR fee schedule</w:t>
            </w:r>
          </w:p>
        </w:tc>
        <w:tc>
          <w:tcPr/>
          <w:p>
            <w:pPr>
              <w:pStyle w:val="Compact"/>
              <w:jc w:val="left"/>
            </w:pPr>
            <w:r>
              <w:t xml:space="preserve">High</w:t>
            </w:r>
          </w:p>
        </w:tc>
      </w:tr>
      <w:tr>
        <w:tc>
          <w:tcPr/>
          <w:p>
            <w:pPr>
              <w:pStyle w:val="Compact"/>
              <w:jc w:val="left"/>
            </w:pPr>
            <w:r>
              <w:t xml:space="preserve">FEE-002</w:t>
            </w:r>
          </w:p>
        </w:tc>
        <w:tc>
          <w:tcPr/>
          <w:p>
            <w:pPr>
              <w:pStyle w:val="Compact"/>
              <w:jc w:val="left"/>
            </w:pPr>
            <w:r>
              <w:t xml:space="preserve">Insurance plan fee schedules override UCR for in-network patients</w:t>
            </w:r>
          </w:p>
        </w:tc>
        <w:tc>
          <w:tcPr/>
          <w:p>
            <w:pPr>
              <w:pStyle w:val="Compact"/>
              <w:jc w:val="left"/>
            </w:pPr>
            <w:r>
              <w:t xml:space="preserve">Critical</w:t>
            </w:r>
          </w:p>
        </w:tc>
      </w:tr>
      <w:tr>
        <w:tc>
          <w:tcPr/>
          <w:p>
            <w:pPr>
              <w:pStyle w:val="Compact"/>
              <w:jc w:val="left"/>
            </w:pPr>
            <w:r>
              <w:t xml:space="preserve">FEE-003</w:t>
            </w:r>
          </w:p>
        </w:tc>
        <w:tc>
          <w:tcPr/>
          <w:p>
            <w:pPr>
              <w:pStyle w:val="Compact"/>
              <w:jc w:val="left"/>
            </w:pPr>
            <w:r>
              <w:t xml:space="preserve">Fee schedules reviewed and updated annually (January 1)</w:t>
            </w:r>
          </w:p>
        </w:tc>
        <w:tc>
          <w:tcPr/>
          <w:p>
            <w:pPr>
              <w:pStyle w:val="Compact"/>
              <w:jc w:val="left"/>
            </w:pPr>
            <w:r>
              <w:t xml:space="preserve">High</w:t>
            </w:r>
          </w:p>
        </w:tc>
      </w:tr>
      <w:tr>
        <w:tc>
          <w:tcPr/>
          <w:p>
            <w:pPr>
              <w:pStyle w:val="Compact"/>
              <w:jc w:val="left"/>
            </w:pPr>
            <w:r>
              <w:t xml:space="preserve">FEE-004</w:t>
            </w:r>
          </w:p>
        </w:tc>
        <w:tc>
          <w:tcPr/>
          <w:p>
            <w:pPr>
              <w:pStyle w:val="Compact"/>
              <w:jc w:val="left"/>
            </w:pPr>
            <w:r>
              <w:t xml:space="preserve">Fee schedule changes do not affect already-posted procedures</w:t>
            </w:r>
          </w:p>
        </w:tc>
        <w:tc>
          <w:tcPr/>
          <w:p>
            <w:pPr>
              <w:pStyle w:val="Compact"/>
              <w:jc w:val="left"/>
            </w:pPr>
            <w:r>
              <w:t xml:space="preserve">Critical</w:t>
            </w:r>
          </w:p>
        </w:tc>
      </w:tr>
      <w:tr>
        <w:tc>
          <w:tcPr/>
          <w:p>
            <w:pPr>
              <w:pStyle w:val="Compact"/>
              <w:jc w:val="left"/>
            </w:pPr>
            <w:r>
              <w:t xml:space="preserve">FEE-005</w:t>
            </w:r>
          </w:p>
        </w:tc>
        <w:tc>
          <w:tcPr/>
          <w:p>
            <w:pPr>
              <w:pStyle w:val="Compact"/>
              <w:jc w:val="left"/>
            </w:pPr>
            <w:r>
              <w:t xml:space="preserve">Courtesy discounts require manager approval if &gt; 10%</w:t>
            </w:r>
          </w:p>
        </w:tc>
        <w:tc>
          <w:tcPr/>
          <w:p>
            <w:pPr>
              <w:pStyle w:val="Compact"/>
              <w:jc w:val="left"/>
            </w:pPr>
            <w:r>
              <w:t xml:space="preserve">High</w:t>
            </w:r>
          </w:p>
        </w:tc>
      </w:tr>
      <w:tr>
        <w:tc>
          <w:tcPr/>
          <w:p>
            <w:pPr>
              <w:pStyle w:val="Compact"/>
              <w:jc w:val="left"/>
            </w:pPr>
            <w:r>
              <w:t xml:space="preserve">FEE-006</w:t>
            </w:r>
          </w:p>
        </w:tc>
        <w:tc>
          <w:tcPr/>
          <w:p>
            <w:pPr>
              <w:pStyle w:val="Compact"/>
              <w:jc w:val="left"/>
            </w:pPr>
            <w:r>
              <w:t xml:space="preserve">Senior discount (65+): 10% on non-insurance-covered procedures</w:t>
            </w:r>
          </w:p>
        </w:tc>
        <w:tc>
          <w:tcPr/>
          <w:p>
            <w:pPr>
              <w:pStyle w:val="Compact"/>
              <w:jc w:val="left"/>
            </w:pPr>
            <w:r>
              <w:t xml:space="preserve">Medium</w:t>
            </w:r>
          </w:p>
        </w:tc>
      </w:tr>
      <w:tr>
        <w:tc>
          <w:tcPr/>
          <w:p>
            <w:pPr>
              <w:pStyle w:val="Compact"/>
              <w:jc w:val="left"/>
            </w:pPr>
            <w:r>
              <w:t xml:space="preserve">FEE-007</w:t>
            </w:r>
          </w:p>
        </w:tc>
        <w:tc>
          <w:tcPr/>
          <w:p>
            <w:pPr>
              <w:pStyle w:val="Compact"/>
              <w:jc w:val="left"/>
            </w:pPr>
            <w:r>
              <w:t xml:space="preserve">Prepayment discount: 5% if treatment plan paid in full upfront</w:t>
            </w:r>
          </w:p>
        </w:tc>
        <w:tc>
          <w:tcPr/>
          <w:p>
            <w:pPr>
              <w:pStyle w:val="Compact"/>
              <w:jc w:val="left"/>
            </w:pPr>
            <w:r>
              <w:t xml:space="preserve">Medium</w:t>
            </w:r>
          </w:p>
        </w:tc>
      </w:tr>
    </w:tbl>
    <w:bookmarkEnd w:id="34"/>
    <w:bookmarkStart w:id="35" w:name="payment-rules"/>
    <w:p>
      <w:pPr>
        <w:pStyle w:val="Heading3"/>
      </w:pPr>
      <w:r>
        <w:t xml:space="preserve">4.2 Payment Rules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PAY-001</w:t>
            </w:r>
          </w:p>
        </w:tc>
        <w:tc>
          <w:tcPr/>
          <w:p>
            <w:pPr>
              <w:pStyle w:val="Compact"/>
              <w:jc w:val="left"/>
            </w:pPr>
            <w:r>
              <w:t xml:space="preserve">Copayment/estimated patient portion collected at time of service</w:t>
            </w:r>
          </w:p>
        </w:tc>
        <w:tc>
          <w:tcPr/>
          <w:p>
            <w:pPr>
              <w:pStyle w:val="Compact"/>
              <w:jc w:val="left"/>
            </w:pPr>
            <w:r>
              <w:t xml:space="preserve">High</w:t>
            </w:r>
          </w:p>
        </w:tc>
      </w:tr>
      <w:tr>
        <w:tc>
          <w:tcPr/>
          <w:p>
            <w:pPr>
              <w:pStyle w:val="Compact"/>
              <w:jc w:val="left"/>
            </w:pPr>
            <w:r>
              <w:t xml:space="preserve">PAY-002</w:t>
            </w:r>
          </w:p>
        </w:tc>
        <w:tc>
          <w:tcPr/>
          <w:p>
            <w:pPr>
              <w:pStyle w:val="Compact"/>
              <w:jc w:val="left"/>
            </w:pPr>
            <w:r>
              <w:t xml:space="preserve">Accepted payment methods: cash, check, Visa, MC, Amex, Discover, CareCredit</w:t>
            </w:r>
          </w:p>
        </w:tc>
        <w:tc>
          <w:tcPr/>
          <w:p>
            <w:pPr>
              <w:pStyle w:val="Compact"/>
              <w:jc w:val="left"/>
            </w:pPr>
            <w:r>
              <w:t xml:space="preserve">Medium</w:t>
            </w:r>
          </w:p>
        </w:tc>
      </w:tr>
      <w:tr>
        <w:tc>
          <w:tcPr/>
          <w:p>
            <w:pPr>
              <w:pStyle w:val="Compact"/>
              <w:jc w:val="left"/>
            </w:pPr>
            <w:r>
              <w:t xml:space="preserve">PAY-003</w:t>
            </w:r>
          </w:p>
        </w:tc>
        <w:tc>
          <w:tcPr/>
          <w:p>
            <w:pPr>
              <w:pStyle w:val="Compact"/>
              <w:jc w:val="left"/>
            </w:pPr>
            <w:r>
              <w:t xml:space="preserve">Credit card payments processed via Stripe (PCI compliant)</w:t>
            </w:r>
          </w:p>
        </w:tc>
        <w:tc>
          <w:tcPr/>
          <w:p>
            <w:pPr>
              <w:pStyle w:val="Compact"/>
              <w:jc w:val="left"/>
            </w:pPr>
            <w:r>
              <w:t xml:space="preserve">Critical</w:t>
            </w:r>
          </w:p>
        </w:tc>
      </w:tr>
      <w:tr>
        <w:tc>
          <w:tcPr/>
          <w:p>
            <w:pPr>
              <w:pStyle w:val="Compact"/>
              <w:jc w:val="left"/>
            </w:pPr>
            <w:r>
              <w:t xml:space="preserve">PAY-004</w:t>
            </w:r>
          </w:p>
        </w:tc>
        <w:tc>
          <w:tcPr/>
          <w:p>
            <w:pPr>
              <w:pStyle w:val="Compact"/>
              <w:jc w:val="left"/>
            </w:pPr>
            <w:r>
              <w:t xml:space="preserve">Refunds require billing supervisor approval</w:t>
            </w:r>
          </w:p>
        </w:tc>
        <w:tc>
          <w:tcPr/>
          <w:p>
            <w:pPr>
              <w:pStyle w:val="Compact"/>
              <w:jc w:val="left"/>
            </w:pPr>
            <w:r>
              <w:t xml:space="preserve">High</w:t>
            </w:r>
          </w:p>
        </w:tc>
      </w:tr>
      <w:tr>
        <w:tc>
          <w:tcPr/>
          <w:p>
            <w:pPr>
              <w:pStyle w:val="Compact"/>
              <w:jc w:val="left"/>
            </w:pPr>
            <w:r>
              <w:t xml:space="preserve">PAY-005</w:t>
            </w:r>
          </w:p>
        </w:tc>
        <w:tc>
          <w:tcPr/>
          <w:p>
            <w:pPr>
              <w:pStyle w:val="Compact"/>
              <w:jc w:val="left"/>
            </w:pPr>
            <w:r>
              <w:t xml:space="preserve">Refunds &gt; $500 require practice director approval</w:t>
            </w:r>
          </w:p>
        </w:tc>
        <w:tc>
          <w:tcPr/>
          <w:p>
            <w:pPr>
              <w:pStyle w:val="Compact"/>
              <w:jc w:val="left"/>
            </w:pPr>
            <w:r>
              <w:t xml:space="preserve">High</w:t>
            </w:r>
          </w:p>
        </w:tc>
      </w:tr>
      <w:tr>
        <w:tc>
          <w:tcPr/>
          <w:p>
            <w:pPr>
              <w:pStyle w:val="Compact"/>
              <w:jc w:val="left"/>
            </w:pPr>
            <w:r>
              <w:t xml:space="preserve">PAY-006</w:t>
            </w:r>
          </w:p>
        </w:tc>
        <w:tc>
          <w:tcPr/>
          <w:p>
            <w:pPr>
              <w:pStyle w:val="Compact"/>
              <w:jc w:val="left"/>
            </w:pPr>
            <w:r>
              <w:t xml:space="preserve">NSF check fee: $35 applied to patient account</w:t>
            </w:r>
          </w:p>
        </w:tc>
        <w:tc>
          <w:tcPr/>
          <w:p>
            <w:pPr>
              <w:pStyle w:val="Compact"/>
              <w:jc w:val="left"/>
            </w:pPr>
            <w:r>
              <w:t xml:space="preserve">Medium</w:t>
            </w:r>
          </w:p>
        </w:tc>
      </w:tr>
      <w:tr>
        <w:tc>
          <w:tcPr/>
          <w:p>
            <w:pPr>
              <w:pStyle w:val="Compact"/>
              <w:jc w:val="left"/>
            </w:pPr>
            <w:r>
              <w:t xml:space="preserve">PAY-007</w:t>
            </w:r>
          </w:p>
        </w:tc>
        <w:tc>
          <w:tcPr/>
          <w:p>
            <w:pPr>
              <w:pStyle w:val="Compact"/>
              <w:jc w:val="left"/>
            </w:pPr>
            <w:r>
              <w:t xml:space="preserve">Payment plans available for treatment &gt; $500: 3, 6, or 12 months</w:t>
            </w:r>
          </w:p>
        </w:tc>
        <w:tc>
          <w:tcPr/>
          <w:p>
            <w:pPr>
              <w:pStyle w:val="Compact"/>
              <w:jc w:val="left"/>
            </w:pPr>
            <w:r>
              <w:t xml:space="preserve">Medium</w:t>
            </w:r>
          </w:p>
        </w:tc>
      </w:tr>
      <w:tr>
        <w:tc>
          <w:tcPr/>
          <w:p>
            <w:pPr>
              <w:pStyle w:val="Compact"/>
              <w:jc w:val="left"/>
            </w:pPr>
            <w:r>
              <w:t xml:space="preserve">PAY-008</w:t>
            </w:r>
          </w:p>
        </w:tc>
        <w:tc>
          <w:tcPr/>
          <w:p>
            <w:pPr>
              <w:pStyle w:val="Compact"/>
              <w:jc w:val="left"/>
            </w:pPr>
            <w:r>
              <w:t xml:space="preserve">Payment plan interest: 0% for 3 months, 1.5%/month for 6+ months</w:t>
            </w:r>
          </w:p>
        </w:tc>
        <w:tc>
          <w:tcPr/>
          <w:p>
            <w:pPr>
              <w:pStyle w:val="Compact"/>
              <w:jc w:val="left"/>
            </w:pPr>
            <w:r>
              <w:t xml:space="preserve">Medium</w:t>
            </w:r>
          </w:p>
        </w:tc>
      </w:tr>
      <w:tr>
        <w:tc>
          <w:tcPr/>
          <w:p>
            <w:pPr>
              <w:pStyle w:val="Compact"/>
              <w:jc w:val="left"/>
            </w:pPr>
            <w:r>
              <w:t xml:space="preserve">PAY-009</w:t>
            </w:r>
          </w:p>
        </w:tc>
        <w:tc>
          <w:tcPr/>
          <w:p>
            <w:pPr>
              <w:pStyle w:val="Compact"/>
              <w:jc w:val="left"/>
            </w:pPr>
            <w:r>
              <w:t xml:space="preserve">Third-party financing (CareCredit) offered for balances &gt; $1,000</w:t>
            </w:r>
          </w:p>
        </w:tc>
        <w:tc>
          <w:tcPr/>
          <w:p>
            <w:pPr>
              <w:pStyle w:val="Compact"/>
              <w:jc w:val="left"/>
            </w:pPr>
            <w:r>
              <w:t xml:space="preserve">Medium</w:t>
            </w:r>
          </w:p>
        </w:tc>
      </w:tr>
    </w:tbl>
    <w:bookmarkEnd w:id="35"/>
    <w:bookmarkStart w:id="36" w:name="collections-rules"/>
    <w:p>
      <w:pPr>
        <w:pStyle w:val="Heading3"/>
      </w:pPr>
      <w:r>
        <w:t xml:space="preserve">4.3 Collections Rules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COL-001</w:t>
            </w:r>
          </w:p>
        </w:tc>
        <w:tc>
          <w:tcPr/>
          <w:p>
            <w:pPr>
              <w:pStyle w:val="Compact"/>
              <w:jc w:val="left"/>
            </w:pPr>
            <w:r>
              <w:t xml:space="preserve">Patient statement sent within 30 days of insurance adjudication</w:t>
            </w:r>
          </w:p>
        </w:tc>
        <w:tc>
          <w:tcPr/>
          <w:p>
            <w:pPr>
              <w:pStyle w:val="Compact"/>
              <w:jc w:val="left"/>
            </w:pPr>
            <w:r>
              <w:t xml:space="preserve">High</w:t>
            </w:r>
          </w:p>
        </w:tc>
      </w:tr>
      <w:tr>
        <w:tc>
          <w:tcPr/>
          <w:p>
            <w:pPr>
              <w:pStyle w:val="Compact"/>
              <w:jc w:val="left"/>
            </w:pPr>
            <w:r>
              <w:t xml:space="preserve">COL-002</w:t>
            </w:r>
          </w:p>
        </w:tc>
        <w:tc>
          <w:tcPr/>
          <w:p>
            <w:pPr>
              <w:pStyle w:val="Compact"/>
              <w:jc w:val="left"/>
            </w:pPr>
            <w:r>
              <w:t xml:space="preserve">Second statement at 60 days with</w:t>
            </w:r>
            <w:r>
              <w:t xml:space="preserve"> </w:t>
            </w:r>
            <w:r>
              <w:t xml:space="preserve">“</w:t>
            </w:r>
            <w:r>
              <w:t xml:space="preserve">Past Due</w:t>
            </w:r>
            <w:r>
              <w:t xml:space="preserve">”</w:t>
            </w:r>
            <w:r>
              <w:t xml:space="preserve"> </w:t>
            </w:r>
            <w:r>
              <w:t xml:space="preserve">notice</w:t>
            </w:r>
          </w:p>
        </w:tc>
        <w:tc>
          <w:tcPr/>
          <w:p>
            <w:pPr>
              <w:pStyle w:val="Compact"/>
              <w:jc w:val="left"/>
            </w:pPr>
            <w:r>
              <w:t xml:space="preserve">High</w:t>
            </w:r>
          </w:p>
        </w:tc>
      </w:tr>
      <w:tr>
        <w:tc>
          <w:tcPr/>
          <w:p>
            <w:pPr>
              <w:pStyle w:val="Compact"/>
              <w:jc w:val="left"/>
            </w:pPr>
            <w:r>
              <w:t xml:space="preserve">COL-003</w:t>
            </w:r>
          </w:p>
        </w:tc>
        <w:tc>
          <w:tcPr/>
          <w:p>
            <w:pPr>
              <w:pStyle w:val="Compact"/>
              <w:jc w:val="left"/>
            </w:pPr>
            <w:r>
              <w:t xml:space="preserve">Third statement at 90 days with</w:t>
            </w:r>
            <w:r>
              <w:t xml:space="preserve"> </w:t>
            </w:r>
            <w:r>
              <w:t xml:space="preserve">“</w:t>
            </w:r>
            <w:r>
              <w:t xml:space="preserve">Final Notice</w:t>
            </w:r>
            <w:r>
              <w:t xml:space="preserve">”</w:t>
            </w:r>
            <w:r>
              <w:t xml:space="preserve"> </w:t>
            </w:r>
            <w:r>
              <w:t xml:space="preserve">and collection warning</w:t>
            </w:r>
          </w:p>
        </w:tc>
        <w:tc>
          <w:tcPr/>
          <w:p>
            <w:pPr>
              <w:pStyle w:val="Compact"/>
              <w:jc w:val="left"/>
            </w:pPr>
            <w:r>
              <w:t xml:space="preserve">High</w:t>
            </w:r>
          </w:p>
        </w:tc>
      </w:tr>
      <w:tr>
        <w:tc>
          <w:tcPr/>
          <w:p>
            <w:pPr>
              <w:pStyle w:val="Compact"/>
              <w:jc w:val="left"/>
            </w:pPr>
            <w:r>
              <w:t xml:space="preserve">COL-004</w:t>
            </w:r>
          </w:p>
        </w:tc>
        <w:tc>
          <w:tcPr/>
          <w:p>
            <w:pPr>
              <w:pStyle w:val="Compact"/>
              <w:jc w:val="left"/>
            </w:pPr>
            <w:r>
              <w:t xml:space="preserve">Phone call attempt at 45 days and 75 days</w:t>
            </w:r>
          </w:p>
        </w:tc>
        <w:tc>
          <w:tcPr/>
          <w:p>
            <w:pPr>
              <w:pStyle w:val="Compact"/>
              <w:jc w:val="left"/>
            </w:pPr>
            <w:r>
              <w:t xml:space="preserve">Medium</w:t>
            </w:r>
          </w:p>
        </w:tc>
      </w:tr>
      <w:tr>
        <w:tc>
          <w:tcPr/>
          <w:p>
            <w:pPr>
              <w:pStyle w:val="Compact"/>
              <w:jc w:val="left"/>
            </w:pPr>
            <w:r>
              <w:t xml:space="preserve">COL-005</w:t>
            </w:r>
          </w:p>
        </w:tc>
        <w:tc>
          <w:tcPr/>
          <w:p>
            <w:pPr>
              <w:pStyle w:val="Compact"/>
              <w:jc w:val="left"/>
            </w:pPr>
            <w:r>
              <w:t xml:space="preserve">Account sent to collections agency at 120 days past due</w:t>
            </w:r>
          </w:p>
        </w:tc>
        <w:tc>
          <w:tcPr/>
          <w:p>
            <w:pPr>
              <w:pStyle w:val="Compact"/>
              <w:jc w:val="left"/>
            </w:pPr>
            <w:r>
              <w:t xml:space="preserve">High</w:t>
            </w:r>
          </w:p>
        </w:tc>
      </w:tr>
      <w:tr>
        <w:tc>
          <w:tcPr/>
          <w:p>
            <w:pPr>
              <w:pStyle w:val="Compact"/>
              <w:jc w:val="left"/>
            </w:pPr>
            <w:r>
              <w:t xml:space="preserve">COL-006</w:t>
            </w:r>
          </w:p>
        </w:tc>
        <w:tc>
          <w:tcPr/>
          <w:p>
            <w:pPr>
              <w:pStyle w:val="Compact"/>
              <w:jc w:val="left"/>
            </w:pPr>
            <w:r>
              <w:t xml:space="preserve">Accounts &lt; $25 written off after 90 days (cost of collection)</w:t>
            </w:r>
          </w:p>
        </w:tc>
        <w:tc>
          <w:tcPr/>
          <w:p>
            <w:pPr>
              <w:pStyle w:val="Compact"/>
              <w:jc w:val="left"/>
            </w:pPr>
            <w:r>
              <w:t xml:space="preserve">Low</w:t>
            </w:r>
          </w:p>
        </w:tc>
      </w:tr>
      <w:tr>
        <w:tc>
          <w:tcPr/>
          <w:p>
            <w:pPr>
              <w:pStyle w:val="Compact"/>
              <w:jc w:val="left"/>
            </w:pPr>
            <w:r>
              <w:t xml:space="preserve">COL-007</w:t>
            </w:r>
          </w:p>
        </w:tc>
        <w:tc>
          <w:tcPr/>
          <w:p>
            <w:pPr>
              <w:pStyle w:val="Compact"/>
              <w:jc w:val="left"/>
            </w:pPr>
            <w:r>
              <w:t xml:space="preserve">Write-offs &gt; $500 require practice director approval</w:t>
            </w:r>
          </w:p>
        </w:tc>
        <w:tc>
          <w:tcPr/>
          <w:p>
            <w:pPr>
              <w:pStyle w:val="Compact"/>
              <w:jc w:val="left"/>
            </w:pPr>
            <w:r>
              <w:t xml:space="preserve">High</w:t>
            </w:r>
          </w:p>
        </w:tc>
      </w:tr>
      <w:tr>
        <w:tc>
          <w:tcPr/>
          <w:p>
            <w:pPr>
              <w:pStyle w:val="Compact"/>
              <w:jc w:val="left"/>
            </w:pPr>
            <w:r>
              <w:t xml:space="preserve">COL-008</w:t>
            </w:r>
          </w:p>
        </w:tc>
        <w:tc>
          <w:tcPr/>
          <w:p>
            <w:pPr>
              <w:pStyle w:val="Compact"/>
              <w:jc w:val="left"/>
            </w:pPr>
            <w:r>
              <w:t xml:space="preserve">Patient scheduling blocked when balance &gt; $200 and &gt; 90 days past due</w:t>
            </w:r>
          </w:p>
        </w:tc>
        <w:tc>
          <w:tcPr/>
          <w:p>
            <w:pPr>
              <w:pStyle w:val="Compact"/>
              <w:jc w:val="left"/>
            </w:pPr>
            <w:r>
              <w:t xml:space="preserve">Medium</w:t>
            </w:r>
          </w:p>
        </w:tc>
      </w:tr>
    </w:tbl>
    <w:p>
      <w:r>
        <w:pict>
          <v:rect style="width:0;height:1.5pt" o:hralign="center" o:hrstd="t" o:hr="t"/>
        </w:pict>
      </w:r>
    </w:p>
    <w:bookmarkEnd w:id="36"/>
    <w:bookmarkEnd w:id="37"/>
    <w:bookmarkStart w:id="40" w:name="provider-and-staffing-rules"/>
    <w:p>
      <w:pPr>
        <w:pStyle w:val="Heading2"/>
      </w:pPr>
      <w:r>
        <w:t xml:space="preserve">5. Provider and Staffing Rules</w:t>
      </w:r>
    </w:p>
    <w:bookmarkStart w:id="38" w:name="provider-requirements"/>
    <w:p>
      <w:pPr>
        <w:pStyle w:val="Heading3"/>
      </w:pPr>
      <w:r>
        <w:t xml:space="preserve">5.1 Provider Requirements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PROV-001</w:t>
            </w:r>
          </w:p>
        </w:tc>
        <w:tc>
          <w:tcPr/>
          <w:p>
            <w:pPr>
              <w:pStyle w:val="Compact"/>
              <w:jc w:val="left"/>
            </w:pPr>
            <w:r>
              <w:t xml:space="preserve">All treating dentists must have active state dental license</w:t>
            </w:r>
          </w:p>
        </w:tc>
        <w:tc>
          <w:tcPr/>
          <w:p>
            <w:pPr>
              <w:pStyle w:val="Compact"/>
              <w:jc w:val="left"/>
            </w:pPr>
            <w:r>
              <w:t xml:space="preserve">Critical</w:t>
            </w:r>
          </w:p>
        </w:tc>
      </w:tr>
      <w:tr>
        <w:tc>
          <w:tcPr/>
          <w:p>
            <w:pPr>
              <w:pStyle w:val="Compact"/>
              <w:jc w:val="left"/>
            </w:pPr>
            <w:r>
              <w:t xml:space="preserve">PROV-002</w:t>
            </w:r>
          </w:p>
        </w:tc>
        <w:tc>
          <w:tcPr/>
          <w:p>
            <w:pPr>
              <w:pStyle w:val="Compact"/>
              <w:jc w:val="left"/>
            </w:pPr>
            <w:r>
              <w:t xml:space="preserve">Dental hygienists must have active state hygiene license</w:t>
            </w:r>
          </w:p>
        </w:tc>
        <w:tc>
          <w:tcPr/>
          <w:p>
            <w:pPr>
              <w:pStyle w:val="Compact"/>
              <w:jc w:val="left"/>
            </w:pPr>
            <w:r>
              <w:t xml:space="preserve">Critical</w:t>
            </w:r>
          </w:p>
        </w:tc>
      </w:tr>
      <w:tr>
        <w:tc>
          <w:tcPr/>
          <w:p>
            <w:pPr>
              <w:pStyle w:val="Compact"/>
              <w:jc w:val="left"/>
            </w:pPr>
            <w:r>
              <w:t xml:space="preserve">PROV-003</w:t>
            </w:r>
          </w:p>
        </w:tc>
        <w:tc>
          <w:tcPr/>
          <w:p>
            <w:pPr>
              <w:pStyle w:val="Compact"/>
              <w:jc w:val="left"/>
            </w:pPr>
            <w:r>
              <w:t xml:space="preserve">License verification performed annually and documented</w:t>
            </w:r>
          </w:p>
        </w:tc>
        <w:tc>
          <w:tcPr/>
          <w:p>
            <w:pPr>
              <w:pStyle w:val="Compact"/>
              <w:jc w:val="left"/>
            </w:pPr>
            <w:r>
              <w:t xml:space="preserve">High</w:t>
            </w:r>
          </w:p>
        </w:tc>
      </w:tr>
      <w:tr>
        <w:tc>
          <w:tcPr/>
          <w:p>
            <w:pPr>
              <w:pStyle w:val="Compact"/>
              <w:jc w:val="left"/>
            </w:pPr>
            <w:r>
              <w:t xml:space="preserve">PROV-004</w:t>
            </w:r>
          </w:p>
        </w:tc>
        <w:tc>
          <w:tcPr/>
          <w:p>
            <w:pPr>
              <w:pStyle w:val="Compact"/>
              <w:jc w:val="left"/>
            </w:pPr>
            <w:r>
              <w:t xml:space="preserve">DEA registration required for providers prescribing controlled substances</w:t>
            </w:r>
          </w:p>
        </w:tc>
        <w:tc>
          <w:tcPr/>
          <w:p>
            <w:pPr>
              <w:pStyle w:val="Compact"/>
              <w:jc w:val="left"/>
            </w:pPr>
            <w:r>
              <w:t xml:space="preserve">Critical</w:t>
            </w:r>
          </w:p>
        </w:tc>
      </w:tr>
      <w:tr>
        <w:tc>
          <w:tcPr/>
          <w:p>
            <w:pPr>
              <w:pStyle w:val="Compact"/>
              <w:jc w:val="left"/>
            </w:pPr>
            <w:r>
              <w:t xml:space="preserve">PROV-005</w:t>
            </w:r>
          </w:p>
        </w:tc>
        <w:tc>
          <w:tcPr/>
          <w:p>
            <w:pPr>
              <w:pStyle w:val="Compact"/>
              <w:jc w:val="left"/>
            </w:pPr>
            <w:r>
              <w:t xml:space="preserve">NPI number required for all providers billing insurance</w:t>
            </w:r>
          </w:p>
        </w:tc>
        <w:tc>
          <w:tcPr/>
          <w:p>
            <w:pPr>
              <w:pStyle w:val="Compact"/>
              <w:jc w:val="left"/>
            </w:pPr>
            <w:r>
              <w:t xml:space="preserve">Critical</w:t>
            </w:r>
          </w:p>
        </w:tc>
      </w:tr>
      <w:tr>
        <w:tc>
          <w:tcPr/>
          <w:p>
            <w:pPr>
              <w:pStyle w:val="Compact"/>
              <w:jc w:val="left"/>
            </w:pPr>
            <w:r>
              <w:t xml:space="preserve">PROV-006</w:t>
            </w:r>
          </w:p>
        </w:tc>
        <w:tc>
          <w:tcPr/>
          <w:p>
            <w:pPr>
              <w:pStyle w:val="Compact"/>
              <w:jc w:val="left"/>
            </w:pPr>
            <w:r>
              <w:t xml:space="preserve">Malpractice insurance proof of coverage required annually</w:t>
            </w:r>
          </w:p>
        </w:tc>
        <w:tc>
          <w:tcPr/>
          <w:p>
            <w:pPr>
              <w:pStyle w:val="Compact"/>
              <w:jc w:val="left"/>
            </w:pPr>
            <w:r>
              <w:t xml:space="preserve">Critical</w:t>
            </w:r>
          </w:p>
        </w:tc>
      </w:tr>
      <w:tr>
        <w:tc>
          <w:tcPr/>
          <w:p>
            <w:pPr>
              <w:pStyle w:val="Compact"/>
              <w:jc w:val="left"/>
            </w:pPr>
            <w:r>
              <w:t xml:space="preserve">PROV-007</w:t>
            </w:r>
          </w:p>
        </w:tc>
        <w:tc>
          <w:tcPr/>
          <w:p>
            <w:pPr>
              <w:pStyle w:val="Compact"/>
              <w:jc w:val="left"/>
            </w:pPr>
            <w:r>
              <w:t xml:space="preserve">Continuing education: 20 hours/year minimum per state requirements</w:t>
            </w:r>
          </w:p>
        </w:tc>
        <w:tc>
          <w:tcPr/>
          <w:p>
            <w:pPr>
              <w:pStyle w:val="Compact"/>
              <w:jc w:val="left"/>
            </w:pPr>
            <w:r>
              <w:t xml:space="preserve">High</w:t>
            </w:r>
          </w:p>
        </w:tc>
      </w:tr>
      <w:tr>
        <w:tc>
          <w:tcPr/>
          <w:p>
            <w:pPr>
              <w:pStyle w:val="Compact"/>
              <w:jc w:val="left"/>
            </w:pPr>
            <w:r>
              <w:t xml:space="preserve">PROV-008</w:t>
            </w:r>
          </w:p>
        </w:tc>
        <w:tc>
          <w:tcPr/>
          <w:p>
            <w:pPr>
              <w:pStyle w:val="Compact"/>
              <w:jc w:val="left"/>
            </w:pPr>
            <w:r>
              <w:t xml:space="preserve">BLS/CPR certification current for all clinical staff</w:t>
            </w:r>
          </w:p>
        </w:tc>
        <w:tc>
          <w:tcPr/>
          <w:p>
            <w:pPr>
              <w:pStyle w:val="Compact"/>
              <w:jc w:val="left"/>
            </w:pPr>
            <w:r>
              <w:t xml:space="preserve">Critical</w:t>
            </w:r>
          </w:p>
        </w:tc>
      </w:tr>
    </w:tbl>
    <w:bookmarkEnd w:id="38"/>
    <w:bookmarkStart w:id="39" w:name="supervision-rules"/>
    <w:p>
      <w:pPr>
        <w:pStyle w:val="Heading3"/>
      </w:pPr>
      <w:r>
        <w:t xml:space="preserve">5.2 Supervision Rules</w:t>
      </w:r>
    </w:p>
    <w:tbl>
      <w:tblPr>
        <w:tblStyle w:val="Table"/>
        <w:tblW w:type="pct" w:w="5000"/>
        <w:tblLook w:firstRow="1" w:lastRow="0" w:firstColumn="0" w:lastColumn="0" w:noHBand="0" w:noVBand="0" w:val="0020"/>
        <w:jc w:val="start"/>
      </w:tblPr>
      <w:tblGrid>
        <w:gridCol w:w="3771"/>
        <w:gridCol w:w="4148"/>
      </w:tblGrid>
      <w:tr>
        <w:trPr>
          <w:tblHeader w:val="true"/>
        </w:trPr>
        <w:tc>
          <w:tcPr/>
          <w:p>
            <w:pPr>
              <w:pStyle w:val="Compact"/>
              <w:jc w:val="left"/>
            </w:pPr>
            <w:r>
              <w:t xml:space="preserve">Activity</w:t>
            </w:r>
          </w:p>
        </w:tc>
        <w:tc>
          <w:tcPr/>
          <w:p>
            <w:pPr>
              <w:pStyle w:val="Compact"/>
              <w:jc w:val="left"/>
            </w:pPr>
            <w:r>
              <w:t xml:space="preserve">Supervision Required</w:t>
            </w:r>
          </w:p>
        </w:tc>
      </w:tr>
      <w:tr>
        <w:tc>
          <w:tcPr/>
          <w:p>
            <w:pPr>
              <w:pStyle w:val="Compact"/>
              <w:jc w:val="left"/>
            </w:pPr>
            <w:r>
              <w:t xml:space="preserve">Dental hygiene procedures</w:t>
            </w:r>
          </w:p>
        </w:tc>
        <w:tc>
          <w:tcPr/>
          <w:p>
            <w:pPr>
              <w:pStyle w:val="Compact"/>
              <w:jc w:val="left"/>
            </w:pPr>
            <w:r>
              <w:t xml:space="preserve">General supervision (dentist on premises)</w:t>
            </w:r>
          </w:p>
        </w:tc>
      </w:tr>
      <w:tr>
        <w:tc>
          <w:tcPr/>
          <w:p>
            <w:pPr>
              <w:pStyle w:val="Compact"/>
              <w:jc w:val="left"/>
            </w:pPr>
            <w:r>
              <w:t xml:space="preserve">Dental assistant expanded functions</w:t>
            </w:r>
          </w:p>
        </w:tc>
        <w:tc>
          <w:tcPr/>
          <w:p>
            <w:pPr>
              <w:pStyle w:val="Compact"/>
              <w:jc w:val="left"/>
            </w:pPr>
            <w:r>
              <w:t xml:space="preserve">Direct supervision (dentist present)</w:t>
            </w:r>
          </w:p>
        </w:tc>
      </w:tr>
      <w:tr>
        <w:tc>
          <w:tcPr/>
          <w:p>
            <w:pPr>
              <w:pStyle w:val="Compact"/>
              <w:jc w:val="left"/>
            </w:pPr>
            <w:r>
              <w:t xml:space="preserve">Nitrous oxide administration</w:t>
            </w:r>
          </w:p>
        </w:tc>
        <w:tc>
          <w:tcPr/>
          <w:p>
            <w:pPr>
              <w:pStyle w:val="Compact"/>
              <w:jc w:val="left"/>
            </w:pPr>
            <w:r>
              <w:t xml:space="preserve">Dentist present and certified</w:t>
            </w:r>
          </w:p>
        </w:tc>
      </w:tr>
      <w:tr>
        <w:tc>
          <w:tcPr/>
          <w:p>
            <w:pPr>
              <w:pStyle w:val="Compact"/>
              <w:jc w:val="left"/>
            </w:pPr>
            <w:r>
              <w:t xml:space="preserve">Dental resident procedures</w:t>
            </w:r>
          </w:p>
        </w:tc>
        <w:tc>
          <w:tcPr/>
          <w:p>
            <w:pPr>
              <w:pStyle w:val="Compact"/>
              <w:jc w:val="left"/>
            </w:pPr>
            <w:r>
              <w:t xml:space="preserve">Direct supervision by attending dentist</w:t>
            </w:r>
          </w:p>
        </w:tc>
      </w:tr>
      <w:tr>
        <w:tc>
          <w:tcPr/>
          <w:p>
            <w:pPr>
              <w:pStyle w:val="Compact"/>
              <w:jc w:val="left"/>
            </w:pPr>
            <w:r>
              <w:t xml:space="preserve">Teledentistry consultations</w:t>
            </w:r>
          </w:p>
        </w:tc>
        <w:tc>
          <w:tcPr/>
          <w:p>
            <w:pPr>
              <w:pStyle w:val="Compact"/>
              <w:jc w:val="left"/>
            </w:pPr>
            <w:r>
              <w:t xml:space="preserve">Dentist must be licensed in patient’s state</w:t>
            </w:r>
          </w:p>
        </w:tc>
      </w:tr>
    </w:tbl>
    <w:p>
      <w:r>
        <w:pict>
          <v:rect style="width:0;height:1.5pt" o:hralign="center" o:hrstd="t" o:hr="t"/>
        </w:pict>
      </w:r>
    </w:p>
    <w:bookmarkEnd w:id="39"/>
    <w:bookmarkEnd w:id="40"/>
    <w:bookmarkStart w:id="41" w:name="multi-clinic-business-rules"/>
    <w:p>
      <w:pPr>
        <w:pStyle w:val="Heading2"/>
      </w:pPr>
      <w:r>
        <w:t xml:space="preserve">6. Multi-Clinic Business Rules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LOC-001</w:t>
            </w:r>
          </w:p>
        </w:tc>
        <w:tc>
          <w:tcPr/>
          <w:p>
            <w:pPr>
              <w:pStyle w:val="Compact"/>
              <w:jc w:val="left"/>
            </w:pPr>
            <w:r>
              <w:t xml:space="preserve">Patient records accessible from any clinic location</w:t>
            </w:r>
          </w:p>
        </w:tc>
        <w:tc>
          <w:tcPr/>
          <w:p>
            <w:pPr>
              <w:pStyle w:val="Compact"/>
              <w:jc w:val="left"/>
            </w:pPr>
            <w:r>
              <w:t xml:space="preserve">Critical</w:t>
            </w:r>
          </w:p>
        </w:tc>
      </w:tr>
      <w:tr>
        <w:tc>
          <w:tcPr/>
          <w:p>
            <w:pPr>
              <w:pStyle w:val="Compact"/>
              <w:jc w:val="left"/>
            </w:pPr>
            <w:r>
              <w:t xml:space="preserve">LOC-002</w:t>
            </w:r>
          </w:p>
        </w:tc>
        <w:tc>
          <w:tcPr/>
          <w:p>
            <w:pPr>
              <w:pStyle w:val="Compact"/>
              <w:jc w:val="left"/>
            </w:pPr>
            <w:r>
              <w:t xml:space="preserve">Financial balances are practice-wide, not location-specific</w:t>
            </w:r>
          </w:p>
        </w:tc>
        <w:tc>
          <w:tcPr/>
          <w:p>
            <w:pPr>
              <w:pStyle w:val="Compact"/>
              <w:jc w:val="left"/>
            </w:pPr>
            <w:r>
              <w:t xml:space="preserve">High</w:t>
            </w:r>
          </w:p>
        </w:tc>
      </w:tr>
      <w:tr>
        <w:tc>
          <w:tcPr/>
          <w:p>
            <w:pPr>
              <w:pStyle w:val="Compact"/>
              <w:jc w:val="left"/>
            </w:pPr>
            <w:r>
              <w:t xml:space="preserve">LOC-003</w:t>
            </w:r>
          </w:p>
        </w:tc>
        <w:tc>
          <w:tcPr/>
          <w:p>
            <w:pPr>
              <w:pStyle w:val="Compact"/>
              <w:jc w:val="left"/>
            </w:pPr>
            <w:r>
              <w:t xml:space="preserve">Appointments can be scheduled at any location</w:t>
            </w:r>
          </w:p>
        </w:tc>
        <w:tc>
          <w:tcPr/>
          <w:p>
            <w:pPr>
              <w:pStyle w:val="Compact"/>
              <w:jc w:val="left"/>
            </w:pPr>
            <w:r>
              <w:t xml:space="preserve">High</w:t>
            </w:r>
          </w:p>
        </w:tc>
      </w:tr>
      <w:tr>
        <w:tc>
          <w:tcPr/>
          <w:p>
            <w:pPr>
              <w:pStyle w:val="Compact"/>
              <w:jc w:val="left"/>
            </w:pPr>
            <w:r>
              <w:t xml:space="preserve">LOC-004</w:t>
            </w:r>
          </w:p>
        </w:tc>
        <w:tc>
          <w:tcPr/>
          <w:p>
            <w:pPr>
              <w:pStyle w:val="Compact"/>
              <w:jc w:val="left"/>
            </w:pPr>
            <w:r>
              <w:t xml:space="preserve">Provider schedules are location-specific</w:t>
            </w:r>
          </w:p>
        </w:tc>
        <w:tc>
          <w:tcPr/>
          <w:p>
            <w:pPr>
              <w:pStyle w:val="Compact"/>
              <w:jc w:val="left"/>
            </w:pPr>
            <w:r>
              <w:t xml:space="preserve">High</w:t>
            </w:r>
          </w:p>
        </w:tc>
      </w:tr>
      <w:tr>
        <w:tc>
          <w:tcPr/>
          <w:p>
            <w:pPr>
              <w:pStyle w:val="Compact"/>
              <w:jc w:val="left"/>
            </w:pPr>
            <w:r>
              <w:t xml:space="preserve">LOC-005</w:t>
            </w:r>
          </w:p>
        </w:tc>
        <w:tc>
          <w:tcPr/>
          <w:p>
            <w:pPr>
              <w:pStyle w:val="Compact"/>
              <w:jc w:val="left"/>
            </w:pPr>
            <w:r>
              <w:t xml:space="preserve">Each location has its own operatory configuration</w:t>
            </w:r>
          </w:p>
        </w:tc>
        <w:tc>
          <w:tcPr/>
          <w:p>
            <w:pPr>
              <w:pStyle w:val="Compact"/>
              <w:jc w:val="left"/>
            </w:pPr>
            <w:r>
              <w:t xml:space="preserve">Medium</w:t>
            </w:r>
          </w:p>
        </w:tc>
      </w:tr>
      <w:tr>
        <w:tc>
          <w:tcPr/>
          <w:p>
            <w:pPr>
              <w:pStyle w:val="Compact"/>
              <w:jc w:val="left"/>
            </w:pPr>
            <w:r>
              <w:t xml:space="preserve">LOC-006</w:t>
            </w:r>
          </w:p>
        </w:tc>
        <w:tc>
          <w:tcPr/>
          <w:p>
            <w:pPr>
              <w:pStyle w:val="Compact"/>
              <w:jc w:val="left"/>
            </w:pPr>
            <w:r>
              <w:t xml:space="preserve">Daily financial reports generated per location and consolidated</w:t>
            </w:r>
          </w:p>
        </w:tc>
        <w:tc>
          <w:tcPr/>
          <w:p>
            <w:pPr>
              <w:pStyle w:val="Compact"/>
              <w:jc w:val="left"/>
            </w:pPr>
            <w:r>
              <w:t xml:space="preserve">High</w:t>
            </w:r>
          </w:p>
        </w:tc>
      </w:tr>
      <w:tr>
        <w:tc>
          <w:tcPr/>
          <w:p>
            <w:pPr>
              <w:pStyle w:val="Compact"/>
              <w:jc w:val="left"/>
            </w:pPr>
            <w:r>
              <w:t xml:space="preserve">LOC-007</w:t>
            </w:r>
          </w:p>
        </w:tc>
        <w:tc>
          <w:tcPr/>
          <w:p>
            <w:pPr>
              <w:pStyle w:val="Compact"/>
              <w:jc w:val="left"/>
            </w:pPr>
            <w:r>
              <w:t xml:space="preserve">Insurance claims submitted with location-specific NPI and Tax ID</w:t>
            </w:r>
          </w:p>
        </w:tc>
        <w:tc>
          <w:tcPr/>
          <w:p>
            <w:pPr>
              <w:pStyle w:val="Compact"/>
              <w:jc w:val="left"/>
            </w:pPr>
            <w:r>
              <w:t xml:space="preserve">Critical</w:t>
            </w:r>
          </w:p>
        </w:tc>
      </w:tr>
      <w:tr>
        <w:tc>
          <w:tcPr/>
          <w:p>
            <w:pPr>
              <w:pStyle w:val="Compact"/>
              <w:jc w:val="left"/>
            </w:pPr>
            <w:r>
              <w:t xml:space="preserve">LOC-008</w:t>
            </w:r>
          </w:p>
        </w:tc>
        <w:tc>
          <w:tcPr/>
          <w:p>
            <w:pPr>
              <w:pStyle w:val="Compact"/>
              <w:jc w:val="left"/>
            </w:pPr>
            <w:r>
              <w:t xml:space="preserve">Inventory management is location-specific</w:t>
            </w:r>
          </w:p>
        </w:tc>
        <w:tc>
          <w:tcPr/>
          <w:p>
            <w:pPr>
              <w:pStyle w:val="Compact"/>
              <w:jc w:val="left"/>
            </w:pPr>
            <w:r>
              <w:t xml:space="preserve">Medium</w:t>
            </w:r>
          </w:p>
        </w:tc>
      </w:tr>
    </w:tbl>
    <w:p>
      <w:r>
        <w:pict>
          <v:rect style="width:0;height:1.5pt" o:hralign="center" o:hrstd="t" o:hr="t"/>
        </w:pict>
      </w:r>
    </w:p>
    <w:bookmarkEnd w:id="41"/>
    <w:bookmarkStart w:id="42" w:name="recall-and-continuing-care-rules"/>
    <w:p>
      <w:pPr>
        <w:pStyle w:val="Heading2"/>
      </w:pPr>
      <w:r>
        <w:t xml:space="preserve">7. Recall and Continuing Care Rules</w:t>
      </w:r>
    </w:p>
    <w:tbl>
      <w:tblPr>
        <w:tblStyle w:val="Table"/>
        <w:tblW w:type="pct" w:w="5000"/>
        <w:tblLook w:firstRow="1" w:lastRow="0" w:firstColumn="0" w:lastColumn="0" w:noHBand="0" w:noVBand="0" w:val="0020"/>
        <w:jc w:val="start"/>
      </w:tblPr>
      <w:tblGrid>
        <w:gridCol w:w="889"/>
        <w:gridCol w:w="6140"/>
        <w:gridCol w:w="889"/>
      </w:tblGrid>
      <w:tr>
        <w:trPr>
          <w:tblHeader w:val="true"/>
        </w:trPr>
        <w:tc>
          <w:tcPr/>
          <w:p>
            <w:pPr>
              <w:pStyle w:val="Compact"/>
              <w:jc w:val="left"/>
            </w:pPr>
            <w:r>
              <w:t xml:space="preserve">Rule ID</w:t>
            </w:r>
          </w:p>
        </w:tc>
        <w:tc>
          <w:tcPr/>
          <w:p>
            <w:pPr>
              <w:pStyle w:val="Compact"/>
              <w:jc w:val="left"/>
            </w:pPr>
            <w:r>
              <w:t xml:space="preserve">Rule Description</w:t>
            </w:r>
          </w:p>
        </w:tc>
        <w:tc>
          <w:tcPr/>
          <w:p>
            <w:pPr>
              <w:pStyle w:val="Compact"/>
              <w:jc w:val="left"/>
            </w:pPr>
            <w:r>
              <w:t xml:space="preserve">Priority</w:t>
            </w:r>
          </w:p>
        </w:tc>
      </w:tr>
      <w:tr>
        <w:tc>
          <w:tcPr/>
          <w:p>
            <w:pPr>
              <w:pStyle w:val="Compact"/>
              <w:jc w:val="left"/>
            </w:pPr>
            <w:r>
              <w:t xml:space="preserve">REC-001</w:t>
            </w:r>
          </w:p>
        </w:tc>
        <w:tc>
          <w:tcPr/>
          <w:p>
            <w:pPr>
              <w:pStyle w:val="Compact"/>
              <w:jc w:val="left"/>
            </w:pPr>
            <w:r>
              <w:t xml:space="preserve">Recall interval default: 6 months from last prophylaxis</w:t>
            </w:r>
          </w:p>
        </w:tc>
        <w:tc>
          <w:tcPr/>
          <w:p>
            <w:pPr>
              <w:pStyle w:val="Compact"/>
              <w:jc w:val="left"/>
            </w:pPr>
            <w:r>
              <w:t xml:space="preserve">High</w:t>
            </w:r>
          </w:p>
        </w:tc>
      </w:tr>
      <w:tr>
        <w:tc>
          <w:tcPr/>
          <w:p>
            <w:pPr>
              <w:pStyle w:val="Compact"/>
              <w:jc w:val="left"/>
            </w:pPr>
            <w:r>
              <w:t xml:space="preserve">REC-002</w:t>
            </w:r>
          </w:p>
        </w:tc>
        <w:tc>
          <w:tcPr/>
          <w:p>
            <w:pPr>
              <w:pStyle w:val="Compact"/>
              <w:jc w:val="left"/>
            </w:pPr>
            <w:r>
              <w:t xml:space="preserve">Perio maintenance patients: recall at 3-4 month intervals</w:t>
            </w:r>
          </w:p>
        </w:tc>
        <w:tc>
          <w:tcPr/>
          <w:p>
            <w:pPr>
              <w:pStyle w:val="Compact"/>
              <w:jc w:val="left"/>
            </w:pPr>
            <w:r>
              <w:t xml:space="preserve">High</w:t>
            </w:r>
          </w:p>
        </w:tc>
      </w:tr>
      <w:tr>
        <w:tc>
          <w:tcPr/>
          <w:p>
            <w:pPr>
              <w:pStyle w:val="Compact"/>
              <w:jc w:val="left"/>
            </w:pPr>
            <w:r>
              <w:t xml:space="preserve">REC-003</w:t>
            </w:r>
          </w:p>
        </w:tc>
        <w:tc>
          <w:tcPr/>
          <w:p>
            <w:pPr>
              <w:pStyle w:val="Compact"/>
              <w:jc w:val="left"/>
            </w:pPr>
            <w:r>
              <w:t xml:space="preserve">High-risk caries patients: recall at 3-4 month intervals</w:t>
            </w:r>
          </w:p>
        </w:tc>
        <w:tc>
          <w:tcPr/>
          <w:p>
            <w:pPr>
              <w:pStyle w:val="Compact"/>
              <w:jc w:val="left"/>
            </w:pPr>
            <w:r>
              <w:t xml:space="preserve">Medium</w:t>
            </w:r>
          </w:p>
        </w:tc>
      </w:tr>
      <w:tr>
        <w:tc>
          <w:tcPr/>
          <w:p>
            <w:pPr>
              <w:pStyle w:val="Compact"/>
              <w:jc w:val="left"/>
            </w:pPr>
            <w:r>
              <w:t xml:space="preserve">REC-004</w:t>
            </w:r>
          </w:p>
        </w:tc>
        <w:tc>
          <w:tcPr/>
          <w:p>
            <w:pPr>
              <w:pStyle w:val="Compact"/>
              <w:jc w:val="left"/>
            </w:pPr>
            <w:r>
              <w:t xml:space="preserve">Recall reminders sent: 4 weeks before due date (email + SMS)</w:t>
            </w:r>
          </w:p>
        </w:tc>
        <w:tc>
          <w:tcPr/>
          <w:p>
            <w:pPr>
              <w:pStyle w:val="Compact"/>
              <w:jc w:val="left"/>
            </w:pPr>
            <w:r>
              <w:t xml:space="preserve">High</w:t>
            </w:r>
          </w:p>
        </w:tc>
      </w:tr>
      <w:tr>
        <w:tc>
          <w:tcPr/>
          <w:p>
            <w:pPr>
              <w:pStyle w:val="Compact"/>
              <w:jc w:val="left"/>
            </w:pPr>
            <w:r>
              <w:t xml:space="preserve">REC-005</w:t>
            </w:r>
          </w:p>
        </w:tc>
        <w:tc>
          <w:tcPr/>
          <w:p>
            <w:pPr>
              <w:pStyle w:val="Compact"/>
              <w:jc w:val="left"/>
            </w:pPr>
            <w:r>
              <w:t xml:space="preserve">Second reminder: 2 weeks before due date</w:t>
            </w:r>
          </w:p>
        </w:tc>
        <w:tc>
          <w:tcPr/>
          <w:p>
            <w:pPr>
              <w:pStyle w:val="Compact"/>
              <w:jc w:val="left"/>
            </w:pPr>
            <w:r>
              <w:t xml:space="preserve">Medium</w:t>
            </w:r>
          </w:p>
        </w:tc>
      </w:tr>
      <w:tr>
        <w:tc>
          <w:tcPr/>
          <w:p>
            <w:pPr>
              <w:pStyle w:val="Compact"/>
              <w:jc w:val="left"/>
            </w:pPr>
            <w:r>
              <w:t xml:space="preserve">REC-006</w:t>
            </w:r>
          </w:p>
        </w:tc>
        <w:tc>
          <w:tcPr/>
          <w:p>
            <w:pPr>
              <w:pStyle w:val="Compact"/>
              <w:jc w:val="left"/>
            </w:pPr>
            <w:r>
              <w:t xml:space="preserve">Post-due reminder: 2 weeks after due date</w:t>
            </w:r>
          </w:p>
        </w:tc>
        <w:tc>
          <w:tcPr/>
          <w:p>
            <w:pPr>
              <w:pStyle w:val="Compact"/>
              <w:jc w:val="left"/>
            </w:pPr>
            <w:r>
              <w:t xml:space="preserve">Medium</w:t>
            </w:r>
          </w:p>
        </w:tc>
      </w:tr>
      <w:tr>
        <w:tc>
          <w:tcPr/>
          <w:p>
            <w:pPr>
              <w:pStyle w:val="Compact"/>
              <w:jc w:val="left"/>
            </w:pPr>
            <w:r>
              <w:t xml:space="preserve">REC-007</w:t>
            </w:r>
          </w:p>
        </w:tc>
        <w:tc>
          <w:tcPr/>
          <w:p>
            <w:pPr>
              <w:pStyle w:val="Compact"/>
              <w:jc w:val="left"/>
            </w:pPr>
            <w:r>
              <w:t xml:space="preserve">Patients not responding after 3 reminders: flagged for phone call</w:t>
            </w:r>
          </w:p>
        </w:tc>
        <w:tc>
          <w:tcPr/>
          <w:p>
            <w:pPr>
              <w:pStyle w:val="Compact"/>
              <w:jc w:val="left"/>
            </w:pPr>
            <w:r>
              <w:t xml:space="preserve">Medium</w:t>
            </w:r>
          </w:p>
        </w:tc>
      </w:tr>
      <w:tr>
        <w:tc>
          <w:tcPr/>
          <w:p>
            <w:pPr>
              <w:pStyle w:val="Compact"/>
              <w:jc w:val="left"/>
            </w:pPr>
            <w:r>
              <w:t xml:space="preserve">REC-008</w:t>
            </w:r>
          </w:p>
        </w:tc>
        <w:tc>
          <w:tcPr/>
          <w:p>
            <w:pPr>
              <w:pStyle w:val="Compact"/>
              <w:jc w:val="left"/>
            </w:pPr>
            <w:r>
              <w:t xml:space="preserve">Patients not seen in 18 months: special reactivation campaign</w:t>
            </w:r>
          </w:p>
        </w:tc>
        <w:tc>
          <w:tcPr/>
          <w:p>
            <w:pPr>
              <w:pStyle w:val="Compact"/>
              <w:jc w:val="left"/>
            </w:pPr>
            <w:r>
              <w:t xml:space="preserve">Low</w:t>
            </w:r>
          </w:p>
        </w:tc>
      </w:tr>
    </w:tbl>
    <w:p>
      <w:r>
        <w:pict>
          <v:rect style="width:0;height:1.5pt" o:hralign="center" o:hrstd="t" o:hr="t"/>
        </w:pict>
      </w:r>
    </w:p>
    <w:bookmarkEnd w:id="42"/>
    <w:bookmarkStart w:id="43" w:name="approval"/>
    <w:p>
      <w:pPr>
        <w:pStyle w:val="Heading2"/>
      </w:pPr>
      <w:r>
        <w:t xml:space="preserve">8.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Practice Director</w:t>
            </w:r>
          </w:p>
        </w:tc>
        <w:tc>
          <w:tcPr/>
          <w:p>
            <w:pPr>
              <w:pStyle w:val="Compact"/>
              <w:jc w:val="left"/>
            </w:pPr>
            <w:r>
              <w:t xml:space="preserve">Dr. Alan Brooks</w:t>
            </w:r>
          </w:p>
        </w:tc>
        <w:tc>
          <w:tcPr/>
          <w:p>
            <w:pPr>
              <w:pStyle w:val="Compact"/>
              <w:jc w:val="left"/>
            </w:pPr>
            <w:r>
              <w:t xml:space="preserve">2025-09-01</w:t>
            </w:r>
          </w:p>
        </w:tc>
      </w:tr>
      <w:tr>
        <w:tc>
          <w:tcPr/>
          <w:p>
            <w:pPr>
              <w:pStyle w:val="Compact"/>
              <w:jc w:val="left"/>
            </w:pPr>
            <w:r>
              <w:t xml:space="preserve">Office Manager</w:t>
            </w:r>
          </w:p>
        </w:tc>
        <w:tc>
          <w:tcPr/>
          <w:p>
            <w:pPr>
              <w:pStyle w:val="Compact"/>
              <w:jc w:val="left"/>
            </w:pPr>
            <w:r>
              <w:t xml:space="preserve">Karen Mitchell</w:t>
            </w:r>
          </w:p>
        </w:tc>
        <w:tc>
          <w:tcPr/>
          <w:p>
            <w:pPr>
              <w:pStyle w:val="Compact"/>
              <w:jc w:val="left"/>
            </w:pPr>
            <w:r>
              <w:t xml:space="preserve">2025-09-01</w:t>
            </w:r>
          </w:p>
        </w:tc>
      </w:tr>
      <w:tr>
        <w:tc>
          <w:tcPr/>
          <w:p>
            <w:pPr>
              <w:pStyle w:val="Compact"/>
              <w:jc w:val="left"/>
            </w:pPr>
            <w:r>
              <w:t xml:space="preserve">Billing Supervisor</w:t>
            </w:r>
          </w:p>
        </w:tc>
        <w:tc>
          <w:tcPr/>
          <w:p>
            <w:pPr>
              <w:pStyle w:val="Compact"/>
              <w:jc w:val="left"/>
            </w:pPr>
            <w:r>
              <w:t xml:space="preserve">Maria Santos</w:t>
            </w:r>
          </w:p>
        </w:tc>
        <w:tc>
          <w:tcPr/>
          <w:p>
            <w:pPr>
              <w:pStyle w:val="Compact"/>
              <w:jc w:val="left"/>
            </w:pPr>
            <w:r>
              <w:t xml:space="preserve">2025-09-01</w:t>
            </w:r>
          </w:p>
        </w:tc>
      </w:tr>
    </w:tbl>
    <w:p>
      <w:r>
        <w:pict>
          <v:rect style="width:0;height:1.5pt" o:hralign="center" o:hrstd="t" o:hr="t"/>
        </w:pict>
      </w:r>
    </w:p>
    <w:p>
      <w:pPr>
        <w:pStyle w:val="FirstParagraph"/>
      </w:pPr>
      <w:r>
        <w:rPr>
          <w:iCs/>
          <w:i/>
        </w:rPr>
        <w:t xml:space="preserve">This document is reviewed semi-annually. Next review: 2026-03-01. Contact: admin@dentalcarepro.com</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ADA_Treatment_Codes_Reference.md" TargetMode="External" /><Relationship Type="http://schemas.openxmlformats.org/officeDocument/2006/relationships/hyperlink" Id="rId21" Target="./Appointment_Scheduling_Policy.md" TargetMode="External" /><Relationship Type="http://schemas.openxmlformats.org/officeDocument/2006/relationships/hyperlink" Id="rId22" Target="./Billing_and_Insurance_Procedures.md" TargetMode="External" /></Relationships>
</file>

<file path=word/_rels/footnotes.xml.rels><?xml version="1.0" encoding="UTF-8"?><Relationships xmlns="http://schemas.openxmlformats.org/package/2006/relationships"><Relationship Type="http://schemas.openxmlformats.org/officeDocument/2006/relationships/hyperlink" Id="rId31" Target="./ADA_Treatment_Codes_Reference.md" TargetMode="External" /><Relationship Type="http://schemas.openxmlformats.org/officeDocument/2006/relationships/hyperlink" Id="rId21" Target="./Appointment_Scheduling_Policy.md" TargetMode="External" /><Relationship Type="http://schemas.openxmlformats.org/officeDocument/2006/relationships/hyperlink" Id="rId22" Target="./Billing_and_Insurance_Procedure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2026-03-12T08:20:03Z</dcterms:created>
  <dcterms:modified xsi:type="dcterms:W3CDTF">2026-03-12T08:20:03Z</dcterms:modified>
</cp:coreProperties>
</file>

<file path=docProps/custom.xml><?xml version="1.0" encoding="utf-8"?>
<Properties xmlns="http://schemas.openxmlformats.org/officeDocument/2006/custom-properties" xmlns:vt="http://schemas.openxmlformats.org/officeDocument/2006/docPropsVTypes"/>
</file>