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1. Introduction</w:t>
      </w:r>
    </w:p>
    <w:p>
      <w:pPr>
        <w:pStyle w:val="Heading1"/>
      </w:pPr>
      <w:r>
        <w:t>1. Introduction</w:t>
      </w:r>
    </w:p>
    <w:p>
      <w:r>
        <w:t>This document provides an overview of the business processes and regulatory requirements related to the implementation and operation of care prevention support (介護予防支援, Kaigo Yobou Shien) within the Japanese long-term care insurance system. The focus is on the roles and responsibilities of care management agencies (居宅介護支援事業所, Kyotaku Kaigo Shien Jigyosho) and community general support centers (地域包括支援センター, Chiiki Hokatsu Shien Center), as well as the associated billing and reporting procedures.</w:t>
      </w:r>
    </w:p>
    <w:p>
      <w:r>
        <w:t>Recent regulatory changes have enabled care management agencies to be designated by municipalities to implement care prevention support directly, in addition to the traditional model where community general support centers could delegate management tasks to these agencies. This shift has implications for billing flows, the submission of service management forms (給付管理票, Kyufu Kanri Hyo), and the calculation and claiming of care prevention support fees (介護予防支援費, Kaigo Yobou Shien-hi).</w:t>
      </w:r>
    </w:p>
    <w:p>
      <w:r>
        <w:t>The documentation clarifies that, regardless of whether the care prevention support is provided under direct designation by the municipality or by delegation from the community general support center, the calculation of care prevention support fees is fundamentally the same, specifically using Care Prevention Support Fee II (介護予防支援費Ⅱ, Kaigo Yobou Shien-hi II). However, the entity responsible for submitting the service management form and claiming the fee differs depending on the contractual and operational arrangement.</w:t>
      </w:r>
    </w:p>
    <w:p>
      <w:r>
        <w:t>This section also outlines the payment flows for cases where care management agencies are commissioned for draft plan preparation, as well as the handling of fees and delegation payments between the involved organizations.</w:t>
      </w:r>
    </w:p>
    <w:p>
      <w:r>
        <w:t>The information presented herein is based solely on official guidance and reference materials issued by the National Health Insurance Organization (国保中央会, Kokuho Chuo-kai) and related regulatory bodies as of March 2024. The aim is to ensure compliance with current business processes and regulatory requirements for all stakeholders involved in care prevention support under the Japanese long-term care insurance system.</w:t>
      </w:r>
    </w:p>
    <w:p>
      <w:r>
        <w:rPr>
          <w:b/>
        </w:rPr>
        <w:t>References:</w:t>
      </w:r>
    </w:p>
    <w:p>
      <w:pPr>
        <w:pStyle w:val="ListBullet"/>
      </w:pPr>
      <w:r>
        <w:t>[KB-0ea19871-ef87-4e55-8489-7eddc60b3f64]</w:t>
      </w:r>
    </w:p>
    <w:p>
      <w:pPr>
        <w:pStyle w:val="ListBullet"/>
      </w:pPr>
      <w:r>
        <w:t>[KB-1d93a3dc-5ee8-41eb-9952-3272854f35de]</w:t>
      </w:r>
    </w:p>
    <w:p>
      <w:pPr>
        <w:pStyle w:val="ListBullet"/>
      </w:pPr>
      <w:r>
        <w:t>[KB-2f5de837-1676-446b-97d9-d639f05156cf]</w:t>
      </w:r>
    </w:p>
    <w:p>
      <w:pPr>
        <w:pStyle w:val="ListBullet"/>
      </w:pPr>
      <w:r>
        <w:t>[KB-3db1726e-235a-4604-98a3-2ae88ad60ff7]</w:t>
      </w:r>
    </w:p>
    <w:p>
      <w:pPr>
        <w:pStyle w:val="ListBullet"/>
      </w:pPr>
      <w:r>
        <w:t>[KB-25ebd9d5-d952-4847-b15c-632de5612a49]</w:t>
      </w:r>
    </w:p>
    <w:p>
      <w:pPr>
        <w:pStyle w:val="ListBullet"/>
      </w:pPr>
      <w:r>
        <w:t>[KB-431c44d6-fa8e-46a8-9957-85cef04953d6]</w:t>
      </w:r>
    </w:p>
    <w:p>
      <w:pPr>
        <w:pStyle w:val="ListBullet"/>
      </w:pPr>
      <w:r>
        <w:t>[KB-a8e713bb-c030-4b37-914b-54a344c7849e]</w:t>
      </w:r>
    </w:p>
    <w:p>
      <w:pPr>
        <w:pStyle w:val="ListBullet"/>
      </w:pPr>
      <w:r>
        <w:t>[KB-c32004df-a34d-4292-b0a9-c3298c6ca027]</w:t>
      </w:r>
    </w:p>
    <w:p>
      <w:pPr>
        <w:pStyle w:val="Heading2"/>
      </w:pPr>
      <w:r>
        <w:t>2. Functional Requirements</w:t>
      </w:r>
    </w:p>
    <w:p>
      <w:pPr>
        <w:pStyle w:val="Heading1"/>
      </w:pPr>
      <w:r>
        <w:t>2. Functional Requirements</w:t>
      </w:r>
    </w:p>
    <w:p>
      <w:r>
        <w:t>This section specifies the functional requirements for the system, based solely on the provided context.</w:t>
      </w:r>
    </w:p>
    <w:p>
      <w:r>
        <w:t>---</w:t>
      </w:r>
    </w:p>
    <w:p>
      <w:pPr>
        <w:pStyle w:val="Heading2"/>
      </w:pPr>
      <w:r>
        <w:t>2.1 Medication Management and Guidance</w:t>
      </w:r>
    </w:p>
    <w:p>
      <w:pPr>
        <w:pStyle w:val="ListBullet"/>
      </w:pPr>
      <w:r>
        <w:t>Pharmacists must provide guidance to patients based on changes in the occurrence of side effects, medication status, and other relevant factors. In cases where multiple drugs requiring special safety management are prescribed, pharmacists must perform pharmaceutical management and guidance as deemed necessary [KB-000e99f2-7067-4762-b755-422481e3acbf].</w:t>
      </w:r>
    </w:p>
    <w:p>
      <w:pPr>
        <w:pStyle w:val="ListBullet"/>
      </w:pPr>
      <w:r>
        <w:t>The pharmacist must confirm the patient's condition during medication, including the presence or absence of symptoms suspected to be side effects, especially when narcotics are continued or increased for pain relief [KB-0031d206-91d0-4860-b8af-b11d910e1f8f].</w:t>
      </w:r>
    </w:p>
    <w:p>
      <w:pPr>
        <w:pStyle w:val="ListBullet"/>
      </w:pPr>
      <w:r>
        <w:t>Pharmacists must record the key points of guidance and the basis for calculating pharmaceutical management fees and their additional charges concisely in the medication history. The pharmacist who provided the guidance must determine the necessary items to record, rather than using standardized templates [KB-013707c4-1e64-4703-b04b-cafa39fc2bf3].</w:t>
      </w:r>
    </w:p>
    <w:p>
      <w:r>
        <w:t>---</w:t>
      </w:r>
    </w:p>
    <w:p>
      <w:pPr>
        <w:pStyle w:val="Heading2"/>
      </w:pPr>
      <w:r>
        <w:t>2.2 Outcome-Oriented Evaluation</w:t>
      </w:r>
    </w:p>
    <w:p>
      <w:pPr>
        <w:pStyle w:val="ListBullet"/>
      </w:pPr>
      <w:r>
        <w:t>The system must support outcome-oriented evaluation by promoting data-driven outcome assessments. This includes revising the evaluation and requirements for data submission fees and expanding the range of hospitalization fees that require notification related to data submission [KB-007430e9-258d-4d7a-9d9a-bc38a39eadb2].</w:t>
      </w:r>
    </w:p>
    <w:p>
      <w:r>
        <w:t>---</w:t>
      </w:r>
    </w:p>
    <w:p>
      <w:pPr>
        <w:pStyle w:val="Heading2"/>
      </w:pPr>
      <w:r>
        <w:t>2.3 Patient Support and Communication</w:t>
      </w:r>
    </w:p>
    <w:p>
      <w:pPr>
        <w:pStyle w:val="ListBullet"/>
      </w:pPr>
      <w:r>
        <w:t>In cases where it is not possible to respond to patient inquiries by phone or other means due to unavoidable circumstances, a system must be in place to promptly return the call and contact the patient [KB-010d9064-1c27-45ef-835a-ce41301099f8].</w:t>
      </w:r>
    </w:p>
    <w:p>
      <w:r>
        <w:t>---</w:t>
      </w:r>
    </w:p>
    <w:p>
      <w:pPr>
        <w:pStyle w:val="Heading2"/>
      </w:pPr>
      <w:r>
        <w:t>2.4 Pharmaceutical Management for Home Care</w:t>
      </w:r>
    </w:p>
    <w:p>
      <w:pPr>
        <w:pStyle w:val="ListBullet"/>
      </w:pPr>
      <w:r>
        <w:t>When providing pharmaceutical management and guidance for home care, the pharmacist must visit the patient's home upon request from another physician in charge of home care, and provide the necessary pharmaceutical management and guidance [KB-020a170d-ec92-4f7b-b112-10a2781334e8].</w:t>
      </w:r>
    </w:p>
    <w:p>
      <w:pPr>
        <w:pStyle w:val="ListBullet"/>
      </w:pPr>
      <w:r>
        <w:t>For patients receiving narcotics, the pharmacist must check the status of medication and storage, confirm the presence or absence of side effects, and provide necessary pharmaceutical management and guidance [KB-08876a43-c1e4-4b37-a1c3-e5a77473d9fa].</w:t>
      </w:r>
    </w:p>
    <w:p>
      <w:pPr>
        <w:pStyle w:val="ListBullet"/>
      </w:pPr>
      <w:r>
        <w:t>For emergency online pharmaceutical management guidance for home patients, the pharmacist must record the time of prescription acceptance (or the time of instruction from the physician) and the time of home visit in the medication history [KB-0813b85e-48ae-4923-815b-bd98271b0f09].</w:t>
      </w:r>
    </w:p>
    <w:p>
      <w:r>
        <w:t>---</w:t>
      </w:r>
    </w:p>
    <w:p>
      <w:pPr>
        <w:pStyle w:val="Heading2"/>
      </w:pPr>
      <w:r>
        <w:t>2.5 Support for Dementia Care</w:t>
      </w:r>
    </w:p>
    <w:p>
      <w:pPr>
        <w:pStyle w:val="ListBullet"/>
      </w:pPr>
      <w:r>
        <w:t>Meetings for reviewing dementia care cases and providing technical guidance may be conducted using television phone devices or similar means [KB-00fc3a60-d780-4c3b-a9808-ae1d37a85756].</w:t>
      </w:r>
    </w:p>
    <w:p>
      <w:r>
        <w:t>---</w:t>
      </w:r>
    </w:p>
    <w:p>
      <w:pPr>
        <w:pStyle w:val="Heading2"/>
      </w:pPr>
      <w:r>
        <w:t>2.6 Abuse Prevention and Physical Restraint in Home Nursing</w:t>
      </w:r>
    </w:p>
    <w:p>
      <w:pPr>
        <w:pStyle w:val="ListBullet"/>
      </w:pPr>
      <w:r>
        <w:t>The system must support the obligation to establish a system for abuse prevention measures and the proper use of physical restraints in home nursing. Physical restraints are, in principle, prohibited [KB-01a2d77c-a20a-47e5-ae19-16ab2c89e272].</w:t>
      </w:r>
    </w:p>
    <w:p>
      <w:r>
        <w:t>---</w:t>
      </w:r>
    </w:p>
    <w:p>
      <w:pPr>
        <w:pStyle w:val="Heading2"/>
      </w:pPr>
      <w:r>
        <w:t>2.7 Medication Adherence Support</w:t>
      </w:r>
    </w:p>
    <w:p>
      <w:pPr>
        <w:pStyle w:val="ListBullet"/>
      </w:pPr>
      <w:r>
        <w:t>The system must support the prevention of missed or incorrect medication intake, especially in patients prescribed multiple medications or those with physical or mental characteristics that make direct medication intake difficult [KB-01e676f7-af86-477e-8833-0176f400d7bd].</w:t>
      </w:r>
    </w:p>
    <w:p>
      <w:r>
        <w:t>---</w:t>
      </w:r>
    </w:p>
    <w:p>
      <w:pPr>
        <w:pStyle w:val="Heading2"/>
      </w:pPr>
      <w:r>
        <w:t>2.8 Information Sharing and Communication</w:t>
      </w:r>
    </w:p>
    <w:p>
      <w:pPr>
        <w:pStyle w:val="ListBullet"/>
      </w:pPr>
      <w:r>
        <w:t>The system must enable the sharing of information necessary for the appropriate and effective implementation of individual functional training, oral health, and nutritional status among relevant professionals for each resident [KB-022a3955-5dc3-45f5-98cf-f0fb1887987d].</w:t>
      </w:r>
    </w:p>
    <w:p>
      <w:pPr>
        <w:pStyle w:val="ListBullet"/>
      </w:pPr>
      <w:r>
        <w:t>The system should support the provision of information to prescribing physicians and related healthcare professionals, including the results of home visits, management of infusion preparations, changes in patient condition during medication, and key points of medication guidance [KB-07418459-85c8-4b80-9b3b-f53e441e652b].</w:t>
      </w:r>
    </w:p>
    <w:p>
      <w:r>
        <w:t>---</w:t>
      </w:r>
    </w:p>
    <w:p>
      <w:pPr>
        <w:pStyle w:val="Heading2"/>
      </w:pPr>
      <w:r>
        <w:t>2.9 Monitoring and Consent</w:t>
      </w:r>
    </w:p>
    <w:p>
      <w:pPr>
        <w:pStyle w:val="ListBullet"/>
      </w:pPr>
      <w:r>
        <w:t>The system must ensure that user consent is obtained for monitoring. In service provider meetings, agreement must be reached among the attending physician, staff, and other stakeholders regarding the user's stable condition and ability to communicate via television phone devices, including cases where family support is available [KB-03b6f18b-5670-46d5-922e-8afd38a7335f].</w:t>
      </w:r>
    </w:p>
    <w:p>
      <w:r>
        <w:t>---</w:t>
      </w:r>
    </w:p>
    <w:p>
      <w:pPr>
        <w:pStyle w:val="Heading2"/>
      </w:pPr>
      <w:r>
        <w:t>2.10 Support for Rehabilitation Plans</w:t>
      </w:r>
    </w:p>
    <w:p>
      <w:pPr>
        <w:pStyle w:val="ListBullet"/>
      </w:pPr>
      <w:r>
        <w:t>For designated day rehabilitation, a rehabilitation plan must be created and implemented based on the attending physician's diagnosis at the designated day rehabilitation office. As an exception, if the user receives rehabilitation from a medical institution, information must be provided using the specified format, and the physician at the office must confirm the content before starting the service [KB-00d0939f-ef97-44e4-be2c-615dd4fb6ff7].</w:t>
      </w:r>
    </w:p>
    <w:p>
      <w:r>
        <w:t>---</w:t>
      </w:r>
    </w:p>
    <w:p>
      <w:pPr>
        <w:pStyle w:val="Heading2"/>
      </w:pPr>
      <w:r>
        <w:t>2.11 Abuse Prevention and Infection Control</w:t>
      </w:r>
    </w:p>
    <w:p>
      <w:pPr>
        <w:pStyle w:val="ListBullet"/>
      </w:pPr>
      <w:r>
        <w:t>The system must support collaboration with medical institutions in response to emerging infectious diseases and the introduction of reductions for offices without a business continuity plan. It must also promote the prevention of elder abuse [KB-035b2313-2d60-4201-a013-cc41fc246aad].</w:t>
      </w:r>
    </w:p>
    <w:p>
      <w:r>
        <w:t>---</w:t>
      </w:r>
    </w:p>
    <w:p>
      <w:pPr>
        <w:pStyle w:val="Heading2"/>
      </w:pPr>
      <w:r>
        <w:t>2.12 Continuous Pharmaceutical Guidance</w:t>
      </w:r>
    </w:p>
    <w:p>
      <w:pPr>
        <w:pStyle w:val="ListBullet"/>
      </w:pPr>
      <w:r>
        <w:t>Pharmacists must provide ongoing guidance as needed after dispensing medications, including confirming the patient's medication status and any changes in physical condition during the medication period [KB-11dd3433-7a2f-4b85-91ab-a191ee7778fc].</w:t>
      </w:r>
    </w:p>
    <w:p>
      <w:r>
        <w:t>---</w:t>
      </w:r>
    </w:p>
    <w:p>
      <w:pPr>
        <w:pStyle w:val="Heading2"/>
      </w:pPr>
      <w:r>
        <w:t>2.13 Support for RMP (Risk Management Plan) and Safety Information</w:t>
      </w:r>
    </w:p>
    <w:p>
      <w:pPr>
        <w:pStyle w:val="ListBullet"/>
      </w:pPr>
      <w:r>
        <w:t>The system must automatically check for target drugs related to RMP and allow the check to be removed if explanation is not provided (e.g., if the drug is a continuation from another pharmacy). The reason for calculating the special pharmaceutical management guidance fee 3 must be recorded, including cases where guidance is provided using RMP [KB-0132f1ac-f16a-4466-8e6e-68b8bc3a4720].</w:t>
      </w:r>
    </w:p>
    <w:p>
      <w:r>
        <w:t>---</w:t>
      </w:r>
    </w:p>
    <w:p>
      <w:pPr>
        <w:pStyle w:val="Heading2"/>
      </w:pPr>
      <w:r>
        <w:t>2.14 Information Accessibility</w:t>
      </w:r>
    </w:p>
    <w:p>
      <w:pPr>
        <w:pStyle w:val="ListBullet"/>
      </w:pPr>
      <w:r>
        <w:t>When responding outside the pharmacy (e.g., at the patient's home), the system should enable access to medication history and related information as needed [KB-02084c15-72de-4ad5-886c-44cd29130dda].</w:t>
      </w:r>
    </w:p>
    <w:p>
      <w:r>
        <w:t>---</w:t>
      </w:r>
    </w:p>
    <w:p>
      <w:pPr>
        <w:pStyle w:val="Heading2"/>
      </w:pPr>
      <w:r>
        <w:t>2.15 Nutritional Care Planning</w:t>
      </w:r>
    </w:p>
    <w:p>
      <w:pPr>
        <w:pStyle w:val="ListBullet"/>
      </w:pPr>
      <w:r>
        <w:t>When providing nutritional care plans, the system must support the delivery of the plan to the user or their family and provide at least 30 minutes of nutritional management information and dietary consultation or advice according to the plan. The date of the home visit must be recorded in the remarks column of the claim statement [KB-00cc3ce0-7dec-49d4-997f-e219db7c11cd].</w:t>
      </w:r>
    </w:p>
    <w:p>
      <w:r>
        <w:t>---</w:t>
      </w:r>
    </w:p>
    <w:p>
      <w:pPr>
        <w:pStyle w:val="Heading2"/>
      </w:pPr>
      <w:r>
        <w:t>2.16 Service Code Table Management</w:t>
      </w:r>
    </w:p>
    <w:p>
      <w:pPr>
        <w:pStyle w:val="ListBullet"/>
      </w:pPr>
      <w:r>
        <w:t>The system must handle service code tables, including managing separate files for changes effective in April and June, as indicated in the interface specification [KB-00e34ffb-f951-4996-8349-4079bd4afd04].</w:t>
      </w:r>
    </w:p>
    <w:p>
      <w:r>
        <w:t>---</w:t>
      </w:r>
    </w:p>
    <w:p>
      <w:pPr>
        <w:pStyle w:val="Heading2"/>
      </w:pPr>
      <w:r>
        <w:t>2.17 Support for Conferences and Record-Keeping</w:t>
      </w:r>
    </w:p>
    <w:p>
      <w:pPr>
        <w:pStyle w:val="ListBullet"/>
      </w:pPr>
      <w:r>
        <w:t>For add-ons that are limited to once at discharge, the conference participation date must be output as a comma-separated list, as multiple participation dates may occur if the user is discharged multiple times for different reasons [KB-026eab69-d286-4c2c-b00d-c3ecd1082074].</w:t>
      </w:r>
    </w:p>
    <w:p>
      <w:r>
        <w:t>---</w:t>
      </w:r>
    </w:p>
    <w:p>
      <w:pPr>
        <w:pStyle w:val="Heading2"/>
      </w:pPr>
      <w:r>
        <w:t>2.18 Home Nursing 24-Hour Support</w:t>
      </w:r>
    </w:p>
    <w:p>
      <w:pPr>
        <w:pStyle w:val="ListBullet"/>
      </w:pPr>
      <w:r>
        <w:t>The system must support the evaluation framework for 24-hour support systems in home nursing, considering initiatives to reduce the burden of nursing work and reviewing the handling of the contact system for 24-hour support [KB-06db46ba-7647-483b-9f38-f7fa62a24d77].</w:t>
      </w:r>
    </w:p>
    <w:p>
      <w:r>
        <w:t>---</w:t>
      </w:r>
    </w:p>
    <w:p>
      <w:pPr>
        <w:pStyle w:val="Heading2"/>
      </w:pPr>
      <w:r>
        <w:t>2.19 Record-Keeping for Medication History</w:t>
      </w:r>
    </w:p>
    <w:p>
      <w:pPr>
        <w:pStyle w:val="ListBullet"/>
      </w:pPr>
      <w:r>
        <w:t>All records for the same patient must be saved and managed per patient so that they can be immediately referenced as needed. This includes information obtained via the online qualification confirmation system [KB-15c48436-3639-467d-9a85-67abdf24d72a].</w:t>
      </w:r>
    </w:p>
    <w:p>
      <w:r>
        <w:t>---</w:t>
      </w:r>
    </w:p>
    <w:p>
      <w:pPr>
        <w:pStyle w:val="Heading2"/>
      </w:pPr>
      <w:r>
        <w:t>2.20 Support for Monitoring Devices and Technology</w:t>
      </w:r>
    </w:p>
    <w:p>
      <w:pPr>
        <w:pStyle w:val="ListBullet"/>
      </w:pPr>
      <w:r>
        <w:t>The system must support the introduction of monitoring devices and technology, including requirements for introducing multiple types of devices and providing data on the effects of operational improvements at least once a year [KB-17ea96de-4027-4c53-9edb-ef93bb0e48c0].</w:t>
      </w:r>
    </w:p>
    <w:p>
      <w:r>
        <w:t>---</w:t>
      </w:r>
    </w:p>
    <w:p>
      <w:pPr>
        <w:pStyle w:val="Heading2"/>
      </w:pPr>
      <w:r>
        <w:t>2.21 Support for Web Publication</w:t>
      </w:r>
    </w:p>
    <w:p>
      <w:pPr>
        <w:pStyle w:val="ListBullet"/>
      </w:pPr>
      <w:r>
        <w:t>The system must ensure that information required to be posted in written form is, in principle, published on the website, in accordance with the digital principle [KB-15830752-5a49-4d4e-ae9f-146eb7554cf1].</w:t>
      </w:r>
    </w:p>
    <w:p>
      <w:r>
        <w:t>---</w:t>
      </w:r>
    </w:p>
    <w:p>
      <w:r>
        <w:t>If any required functional requirements are not addressed above due to lack of information in the provided context, they are considered out of scope for this documentation.</w:t>
      </w:r>
    </w:p>
    <w:p>
      <w:r>
        <w:t>---</w:t>
      </w:r>
    </w:p>
    <w:p>
      <w:r>
        <w:rPr>
          <w:b/>
        </w:rPr>
        <w:t>References:</w:t>
      </w:r>
    </w:p>
    <w:p>
      <w:pPr>
        <w:pStyle w:val="ListBullet"/>
      </w:pPr>
      <w:r>
        <w:t>[KB-000e99f2-7067-4762-b755-422481e3acbf]</w:t>
      </w:r>
    </w:p>
    <w:p>
      <w:pPr>
        <w:pStyle w:val="ListBullet"/>
      </w:pPr>
      <w:r>
        <w:t>[KB-0031d206-91d0-4860-b8af-b11d910e1f8f]</w:t>
      </w:r>
    </w:p>
    <w:p>
      <w:pPr>
        <w:pStyle w:val="ListBullet"/>
      </w:pPr>
      <w:r>
        <w:t>[KB-013707c4-1e64-4703-b04b-cafa39fc2bf3]</w:t>
      </w:r>
    </w:p>
    <w:p>
      <w:pPr>
        <w:pStyle w:val="ListBullet"/>
      </w:pPr>
      <w:r>
        <w:t>[KB-007430e9-258d-4d7a-9d9a-bc38a39eadb2]</w:t>
      </w:r>
    </w:p>
    <w:p>
      <w:pPr>
        <w:pStyle w:val="ListBullet"/>
      </w:pPr>
      <w:r>
        <w:t>[KB-010d9064-1c27-45ef-835a-ce41301099f8]</w:t>
      </w:r>
    </w:p>
    <w:p>
      <w:pPr>
        <w:pStyle w:val="ListBullet"/>
      </w:pPr>
      <w:r>
        <w:t>[KB-020a170d-ec92-4f7b-b112-10a2781334e8]</w:t>
      </w:r>
    </w:p>
    <w:p>
      <w:pPr>
        <w:pStyle w:val="ListBullet"/>
      </w:pPr>
      <w:r>
        <w:t>[KB-08876a43-c1e4-4b37-a1c3-e5a77473d9fa]</w:t>
      </w:r>
    </w:p>
    <w:p>
      <w:pPr>
        <w:pStyle w:val="ListBullet"/>
      </w:pPr>
      <w:r>
        <w:t>[KB-0813b85e-48ae-4923-815b-bd98271b0f09]</w:t>
      </w:r>
    </w:p>
    <w:p>
      <w:pPr>
        <w:pStyle w:val="ListBullet"/>
      </w:pPr>
      <w:r>
        <w:t>[KB-00fc3a60-d780-4c3b-a9808-ae1d37a85756]</w:t>
      </w:r>
    </w:p>
    <w:p>
      <w:pPr>
        <w:pStyle w:val="ListBullet"/>
      </w:pPr>
      <w:r>
        <w:t>[KB-01a2d77c-a20a-47e5-ae19-16ab2c89e272]</w:t>
      </w:r>
    </w:p>
    <w:p>
      <w:pPr>
        <w:pStyle w:val="ListBullet"/>
      </w:pPr>
      <w:r>
        <w:t>[KB-01e676f7-af86-477e-8833-0176f400d7bd]</w:t>
      </w:r>
    </w:p>
    <w:p>
      <w:pPr>
        <w:pStyle w:val="ListBullet"/>
      </w:pPr>
      <w:r>
        <w:t>[KB-022a3955-5dc3-45f5-98cf-f0fb1887987d]</w:t>
      </w:r>
    </w:p>
    <w:p>
      <w:pPr>
        <w:pStyle w:val="ListBullet"/>
      </w:pPr>
      <w:r>
        <w:t>[KB-07418459-85c8-4b80-9b3b-f53e441e652b]</w:t>
      </w:r>
    </w:p>
    <w:p>
      <w:pPr>
        <w:pStyle w:val="ListBullet"/>
      </w:pPr>
      <w:r>
        <w:t>[KB-03b6f18b-5670-46d5-922e-8afd38a7335f]</w:t>
      </w:r>
    </w:p>
    <w:p>
      <w:pPr>
        <w:pStyle w:val="ListBullet"/>
      </w:pPr>
      <w:r>
        <w:t>[KB-00d0939f-ef97-44e4-be2c-615dd4fb6ff7]</w:t>
      </w:r>
    </w:p>
    <w:p>
      <w:pPr>
        <w:pStyle w:val="ListBullet"/>
      </w:pPr>
      <w:r>
        <w:t>[KB-035b2313-2d60-4201-a013-cc41fc246aad]</w:t>
      </w:r>
    </w:p>
    <w:p>
      <w:pPr>
        <w:pStyle w:val="ListBullet"/>
      </w:pPr>
      <w:r>
        <w:t>[KB-11dd3433-7a2f-4b85-91ab-a191ee7778fc]</w:t>
      </w:r>
    </w:p>
    <w:p>
      <w:pPr>
        <w:pStyle w:val="ListBullet"/>
      </w:pPr>
      <w:r>
        <w:t>[KB-0132f1ac-f16a-4466-8e6e-68b8bc3a4720]</w:t>
      </w:r>
    </w:p>
    <w:p>
      <w:pPr>
        <w:pStyle w:val="ListBullet"/>
      </w:pPr>
      <w:r>
        <w:t>[KB-02084c15-72de-4ad5-886c-44cd29130dda]</w:t>
      </w:r>
    </w:p>
    <w:p>
      <w:pPr>
        <w:pStyle w:val="ListBullet"/>
      </w:pPr>
      <w:r>
        <w:t>[KB-00cc3ce0-7dec-49d4-997f-e219db7c11cd]</w:t>
      </w:r>
    </w:p>
    <w:p>
      <w:pPr>
        <w:pStyle w:val="ListBullet"/>
      </w:pPr>
      <w:r>
        <w:t>[KB-00e34ffb-f951-4996-8349-4079bd4afd04]</w:t>
      </w:r>
    </w:p>
    <w:p>
      <w:pPr>
        <w:pStyle w:val="ListBullet"/>
      </w:pPr>
      <w:r>
        <w:t>[KB-026eab69-d286-4c2c-b00d-c3ecd1082074]</w:t>
      </w:r>
    </w:p>
    <w:p>
      <w:pPr>
        <w:pStyle w:val="ListBullet"/>
      </w:pPr>
      <w:r>
        <w:t>[KB-06db46ba-7647-483b-9f38-f7fa62a24d77]</w:t>
      </w:r>
    </w:p>
    <w:p>
      <w:pPr>
        <w:pStyle w:val="ListBullet"/>
      </w:pPr>
      <w:r>
        <w:t>[KB-15c48436-3639-467d-9a85-67abdf24d72a]</w:t>
      </w:r>
    </w:p>
    <w:p>
      <w:pPr>
        <w:pStyle w:val="ListBullet"/>
      </w:pPr>
      <w:r>
        <w:t>[KB-17ea96de-4027-4c53-9edb-ef93bb0e48c0]</w:t>
      </w:r>
    </w:p>
    <w:p>
      <w:pPr>
        <w:pStyle w:val="ListBullet"/>
      </w:pPr>
      <w:r>
        <w:t>[KB-15830752-5a49-4d4e-ae9f-146eb7554cf1]</w:t>
      </w:r>
    </w:p>
    <w:p>
      <w:pPr>
        <w:pStyle w:val="ListBullet"/>
      </w:pPr>
      <w:r>
        <w:t>[KB-159bc8dc-30af-4d1f-a923-05ad21dcf24a]</w:t>
      </w:r>
    </w:p>
    <w:p>
      <w:pPr>
        <w:pStyle w:val="ListBullet"/>
      </w:pPr>
      <w:r>
        <w:t>[KB-01a2d77c-a20a-47e5-ae19-16ab2c89e272]</w:t>
      </w:r>
    </w:p>
    <w:p>
      <w:pPr>
        <w:pStyle w:val="ListBullet"/>
      </w:pPr>
      <w:r>
        <w:t>[KB-03b6f18b-5670-46d5-922e-8afd38a7335f]</w:t>
      </w:r>
    </w:p>
    <w:p>
      <w:pPr>
        <w:pStyle w:val="ListBullet"/>
      </w:pPr>
      <w:r>
        <w:t>[KB-07418459-85c8-4b80-9b3b-f53e441e652b]</w:t>
      </w:r>
    </w:p>
    <w:p>
      <w:pPr>
        <w:pStyle w:val="ListBullet"/>
      </w:pPr>
      <w:r>
        <w:t>[KB-00fc3a60-d780-4c3b-a9808-ae1d37a85756]</w:t>
      </w:r>
    </w:p>
    <w:p>
      <w:pPr>
        <w:pStyle w:val="ListBullet"/>
      </w:pPr>
      <w:r>
        <w:t>[KB-013707c4-1e64-4703-b04b-cafa39fc2bf3]</w:t>
      </w:r>
    </w:p>
    <w:p>
      <w:pPr>
        <w:pStyle w:val="ListBullet"/>
      </w:pPr>
      <w:r>
        <w:t>[KB-007430e9-258d-4d7a-9d9a-bc38a39eadb2]</w:t>
      </w:r>
    </w:p>
    <w:p>
      <w:pPr>
        <w:pStyle w:val="ListBullet"/>
      </w:pPr>
      <w:r>
        <w:t>[KB-010d9064-1c27-45ef-835a-ce41301099f8]</w:t>
      </w:r>
    </w:p>
    <w:p>
      <w:pPr>
        <w:pStyle w:val="ListBullet"/>
      </w:pPr>
      <w:r>
        <w:t>[KB-020a170d-ec92-4f7b-b112-10a2781334e8]</w:t>
      </w:r>
    </w:p>
    <w:p>
      <w:pPr>
        <w:pStyle w:val="ListBullet"/>
      </w:pPr>
      <w:r>
        <w:t>[KB-08876a43-c1e4-4b37-a1c3-e5a77473d9fa]</w:t>
      </w:r>
    </w:p>
    <w:p>
      <w:pPr>
        <w:pStyle w:val="ListBullet"/>
      </w:pPr>
      <w:r>
        <w:t>[KB-0813b85e-48ae-4923-815b-bd98271b0f09]</w:t>
      </w:r>
    </w:p>
    <w:p>
      <w:pPr>
        <w:pStyle w:val="ListBullet"/>
      </w:pPr>
      <w:r>
        <w:t>[KB-00fc3a60-d780-4c3b-a9808-ae1d37a85756]</w:t>
      </w:r>
    </w:p>
    <w:p>
      <w:pPr>
        <w:pStyle w:val="ListBullet"/>
      </w:pPr>
      <w:r>
        <w:t>[KB-01a2d77c-a20a-47e5-ae19-16ab2c89e272]</w:t>
      </w:r>
    </w:p>
    <w:p>
      <w:pPr>
        <w:pStyle w:val="ListBullet"/>
      </w:pPr>
      <w:r>
        <w:t>[KB-01e676f7-af86-477e-8833-0176f400d7bd]</w:t>
      </w:r>
    </w:p>
    <w:p>
      <w:pPr>
        <w:pStyle w:val="ListBullet"/>
      </w:pPr>
      <w:r>
        <w:t>[KB-022a3955-5dc3-45f5-98cf-f0fb1887987d]</w:t>
      </w:r>
    </w:p>
    <w:p>
      <w:pPr>
        <w:pStyle w:val="ListBullet"/>
      </w:pPr>
      <w:r>
        <w:t>[KB-07418459-85c8-4b80-9b3b-f53e441e652b]</w:t>
      </w:r>
    </w:p>
    <w:p>
      <w:pPr>
        <w:pStyle w:val="ListBullet"/>
      </w:pPr>
      <w:r>
        <w:t>[KB-03b6f18b-5670-46d5-922e-8afd38a7335f]</w:t>
      </w:r>
    </w:p>
    <w:p>
      <w:pPr>
        <w:pStyle w:val="ListBullet"/>
      </w:pPr>
      <w:r>
        <w:t>[KB-00d0939f-ef97-44e4-be2c-615dd4fb6ff7]</w:t>
      </w:r>
    </w:p>
    <w:p>
      <w:pPr>
        <w:pStyle w:val="ListBullet"/>
      </w:pPr>
      <w:r>
        <w:t>[KB-035b2313-2d60-4201-a013-cc41fc246aad]</w:t>
      </w:r>
    </w:p>
    <w:p>
      <w:pPr>
        <w:pStyle w:val="ListBullet"/>
      </w:pPr>
      <w:r>
        <w:t>[KB-11dd3433-7a2f-4b85-91ab-a191ee7778fc]</w:t>
      </w:r>
    </w:p>
    <w:p>
      <w:pPr>
        <w:pStyle w:val="ListBullet"/>
      </w:pPr>
      <w:r>
        <w:t>[KB-0132f1ac-f16a-4466-8e6e-68b8bc3a4720]</w:t>
      </w:r>
    </w:p>
    <w:p>
      <w:pPr>
        <w:pStyle w:val="ListBullet"/>
      </w:pPr>
      <w:r>
        <w:t>[KB-02084c15-72de-4ad5-886c-44cd29130dda]</w:t>
      </w:r>
    </w:p>
    <w:p>
      <w:pPr>
        <w:pStyle w:val="ListBullet"/>
      </w:pPr>
      <w:r>
        <w:t>[KB-00cc3ce0-7dec-49d4-997f-e219db7c11cd]</w:t>
      </w:r>
    </w:p>
    <w:p>
      <w:pPr>
        <w:pStyle w:val="ListBullet"/>
      </w:pPr>
      <w:r>
        <w:t>[KB-00e34ffb-f951-4996-8349-4079bd4afd04]</w:t>
      </w:r>
    </w:p>
    <w:p>
      <w:pPr>
        <w:pStyle w:val="ListBullet"/>
      </w:pPr>
      <w:r>
        <w:t>[KB-026eab69-d286-4c2c-b00d-c3ecd1082074]</w:t>
      </w:r>
    </w:p>
    <w:p>
      <w:pPr>
        <w:pStyle w:val="ListBullet"/>
      </w:pPr>
      <w:r>
        <w:t>[KB-06db46ba-7647-483b-9f38-f7fa62a24d77]</w:t>
      </w:r>
    </w:p>
    <w:p>
      <w:pPr>
        <w:pStyle w:val="ListBullet"/>
      </w:pPr>
      <w:r>
        <w:t>[KB-15c48436-3639-467d-9a85-67abdf24d72a]</w:t>
      </w:r>
    </w:p>
    <w:p>
      <w:pPr>
        <w:pStyle w:val="ListBullet"/>
      </w:pPr>
      <w:r>
        <w:t>[KB-17ea96de-4027-4c53-9edb-ef93bb0e48c0]</w:t>
      </w:r>
    </w:p>
    <w:p>
      <w:pPr>
        <w:pStyle w:val="ListBullet"/>
      </w:pPr>
      <w:r>
        <w:t>[KB-15830752-5a49-4d4e-ae9f-146eb7554cf1]</w:t>
      </w:r>
    </w:p>
    <w:p>
      <w:pPr>
        <w:pStyle w:val="ListBullet"/>
      </w:pPr>
      <w:r>
        <w:t>[KB-159bc8dc-30af-4d1f-a923-05ad21dcf24a]</w:t>
      </w:r>
    </w:p>
    <w:p>
      <w:pPr>
        <w:pStyle w:val="Heading2"/>
      </w:pPr>
      <w:r>
        <w:t>3. Non-Functional Requirements</w:t>
      </w:r>
    </w:p>
    <w:p>
      <w:pPr>
        <w:pStyle w:val="Heading1"/>
      </w:pPr>
      <w:r>
        <w:t>3. Non-Functional Requirements</w:t>
      </w:r>
    </w:p>
    <w:p>
      <w:pPr>
        <w:pStyle w:val="Heading2"/>
      </w:pPr>
      <w:r>
        <w:t>3.1 Regulatory and Compliance Requirements</w:t>
      </w:r>
    </w:p>
    <w:p>
      <w:pPr>
        <w:pStyle w:val="ListBullet"/>
      </w:pPr>
      <w:r>
        <w:t>The system must comply with regulatory requirements for medical DX (Digital Transformation) promotion, including the use of information reported by the Social Insurance Medical Fee Payment Fund as stipulated for facility standards. The calculation of medical DX promotion system maintenance addition may use the online qualification confirmation count-based My Number insurance card usage rate from the previous month or the month before last, as reported by the fund [KB-0013f207-f07a-4224-83d0-35734aa1dbd7], [KB-05cade7a-9c22-4cb7-840b-9013a4a3985], [KB-0dbe3fa8-ea39-40a4-9566-4ac8097062ed].</w:t>
      </w:r>
    </w:p>
    <w:p>
      <w:pPr>
        <w:pStyle w:val="ListBullet"/>
      </w:pPr>
      <w:r>
        <w:t>For medical DX promotion system maintenance addition, the facility must display information regarding the system and the provision of high-quality medical care using sufficient information acquisition and utilization in a visible location within the medical institution, and, as a principle, publish these items on the website [KB-00e31e18-2480-4573-ba5e-78637f57cf87], [KB-03f6523f-e9dc-4740-a38e-4db6fef9c9a0], [KB-121688cf-ab8d-4d73-91a4-c058ffeac70b], [KB-1816d65e-f576-4f0f-bff3-2d932ce89273].</w:t>
      </w:r>
    </w:p>
    <w:p>
      <w:pPr>
        <w:pStyle w:val="ListBullet"/>
      </w:pPr>
      <w:r>
        <w:t>For pharmacies, the management system must support electronic records for dispensing and medication history (electronic medication history system), as required for medical DX promotion system maintenance addition [KB-0151ad41-f523-4b4e-9865-ab2a477e6384], [KB-1019d670-b022-463e-86e8-0a5701fd2f25], [KB-148001c5-eaae-43cf-824c-c2eb6fa4e275], [KB-1304be8f-12a3-4edc-b672-d9427fd9e3bf].</w:t>
      </w:r>
    </w:p>
    <w:p>
      <w:pPr>
        <w:pStyle w:val="Heading2"/>
      </w:pPr>
      <w:r>
        <w:t>3.2 Data Management and Security</w:t>
      </w:r>
    </w:p>
    <w:p>
      <w:pPr>
        <w:pStyle w:val="ListBullet"/>
      </w:pPr>
      <w:r>
        <w:t>Electronic records must be maintained for dispensing and medication history, and the system must have the capability to manage these records securely [KB-0151ad41-f523-4b4e-9865-ab2a477e6384], [KB-1019d670-b022-463e-86e8-0a5701fd2f25], [KB-148001c5-eaae-43cf-824c-c2eb6fa4e275].</w:t>
      </w:r>
    </w:p>
    <w:p>
      <w:pPr>
        <w:pStyle w:val="ListBullet"/>
      </w:pPr>
      <w:r>
        <w:t>Medical information systems, including electronic medical records, must ensure backup using multiple methods, with at least one backup stored offline, separated from the network [KB-02cfcc7e-90ed-4956-ab82-015ee559065c].</w:t>
      </w:r>
    </w:p>
    <w:p>
      <w:pPr>
        <w:pStyle w:val="ListBullet"/>
      </w:pPr>
      <w:r>
        <w:t>Information security measures must be established, including compliance with guidelines for the safe management of medical information systems [KB-15f37eaa-7bd5-4964-8581-097b3bb46932], [KB-0e04f91d-b651-4af9-99dc-39b0599c2f43].</w:t>
      </w:r>
    </w:p>
    <w:p>
      <w:pPr>
        <w:pStyle w:val="Heading2"/>
      </w:pPr>
      <w:r>
        <w:t>3.3 Usability and Accessibility</w:t>
      </w:r>
    </w:p>
    <w:p>
      <w:pPr>
        <w:pStyle w:val="ListBullet"/>
      </w:pPr>
      <w:r>
        <w:t>Information regarding the medical DX promotion system and quality medical care must be displayed in a visible location within the institution and published on the website, enabling easy access for patients and stakeholders [KB-00e31e18-2480-4573-ba5e-78637f57cf87], [KB-03f6523f-e9dc-4740-a38e-4db6fef9c9a0], [KB-121688cf-ab8d-4d73-91a4-c058ffeac70b], [KB-1816d65e-f576-4f0f-bff3-2d932ce89273], [KB-15830752-5a49-4bbd-a92f-a8201c087c20], [KB-1777ada7-6195-417f-8b80-48e8814ae05e], [KB-1378c021-c13e-455f-8fd1-5865ac33a07a], [KB-16178463-c3ce-4a96-9bec-8ab56831c31d].</w:t>
      </w:r>
    </w:p>
    <w:p>
      <w:pPr>
        <w:pStyle w:val="ListBullet"/>
      </w:pPr>
      <w:r>
        <w:t>Pharmacies and medical institutions must prepare and maintain their own websites for the publication of required information. Institutions without a website are not eligible for certain additions [KB-1378c021-c13e-455f-8fd1-5865ac33a07a], [KB-16178463-c3ce-4a96-9bec-8ab56831c31d].</w:t>
      </w:r>
    </w:p>
    <w:p>
      <w:pPr>
        <w:pStyle w:val="Heading2"/>
      </w:pPr>
      <w:r>
        <w:t>3.4 Interoperability</w:t>
      </w:r>
    </w:p>
    <w:p>
      <w:pPr>
        <w:pStyle w:val="ListBullet"/>
      </w:pPr>
      <w:r>
        <w:t>The system must be capable of utilizing electronic medical record information sharing services [KB-192535e5-05aa-43dd-986c-66e67301fa66].</w:t>
      </w:r>
    </w:p>
    <w:p>
      <w:pPr>
        <w:pStyle w:val="Heading2"/>
      </w:pPr>
      <w:r>
        <w:t>3.5 Maintainability</w:t>
      </w:r>
    </w:p>
    <w:p>
      <w:pPr>
        <w:pStyle w:val="ListBullet"/>
      </w:pPr>
      <w:r>
        <w:t>The system must support regular updates and maintenance to comply with evolving regulatory requirements and facility standards [KB-05cade7a-9c22-4cb7-840b-9013a4a3985], [KB-0dbe3fa8-ea39-40a4-9566-4ac8097062ed].</w:t>
      </w:r>
    </w:p>
    <w:p>
      <w:pPr>
        <w:pStyle w:val="Heading2"/>
      </w:pPr>
      <w:r>
        <w:t>3.6 Performance</w:t>
      </w:r>
    </w:p>
    <w:p>
      <w:r>
        <w:t>[GAP: Missing data for 3. Non-Functional Requirements]</w:t>
      </w:r>
    </w:p>
    <w:p>
      <w:r>
        <w:t>---</w:t>
      </w:r>
    </w:p>
    <w:p>
      <w:r>
        <w:rPr>
          <w:b/>
        </w:rPr>
        <w:t>References:</w:t>
      </w:r>
    </w:p>
    <w:p>
      <w:pPr>
        <w:pStyle w:val="ListBullet"/>
      </w:pPr>
      <w:r>
        <w:t>[KB-0013f207-f07a-4224-83d0-35734aa1dbd7]</w:t>
      </w:r>
    </w:p>
    <w:p>
      <w:pPr>
        <w:pStyle w:val="ListBullet"/>
      </w:pPr>
      <w:r>
        <w:t>[KB-00e31e18-2480-4573-ba5e-78637f57cf87]</w:t>
      </w:r>
    </w:p>
    <w:p>
      <w:pPr>
        <w:pStyle w:val="ListBullet"/>
      </w:pPr>
      <w:r>
        <w:t>[KB-03f6523f-e9dc-4740-a38e-4db6fef9c9a0]</w:t>
      </w:r>
    </w:p>
    <w:p>
      <w:pPr>
        <w:pStyle w:val="ListBullet"/>
      </w:pPr>
      <w:r>
        <w:t>[KB-121688cf-ab8d-4d73-91a4-c058ffeac70b]</w:t>
      </w:r>
    </w:p>
    <w:p>
      <w:pPr>
        <w:pStyle w:val="ListBullet"/>
      </w:pPr>
      <w:r>
        <w:t>[KB-1816d65e-f576-4f0f-bff3-2d932ce89273]</w:t>
      </w:r>
    </w:p>
    <w:p>
      <w:pPr>
        <w:pStyle w:val="ListBullet"/>
      </w:pPr>
      <w:r>
        <w:t>[KB-0151ad41-f523-4b4e-9865-ab2a477e6384]</w:t>
      </w:r>
    </w:p>
    <w:p>
      <w:pPr>
        <w:pStyle w:val="ListBullet"/>
      </w:pPr>
      <w:r>
        <w:t>[KB-1019d670-b022-463e-86e8-0a5701fd2f25]</w:t>
      </w:r>
    </w:p>
    <w:p>
      <w:pPr>
        <w:pStyle w:val="ListBullet"/>
      </w:pPr>
      <w:r>
        <w:t>[KB-148001c5-eaae-43cf-824c-c2eb6fa4e275]</w:t>
      </w:r>
    </w:p>
    <w:p>
      <w:pPr>
        <w:pStyle w:val="ListBullet"/>
      </w:pPr>
      <w:r>
        <w:t>[KB-1304be8f-12a3-4edc-b672-d9427fd9e3bf]</w:t>
      </w:r>
    </w:p>
    <w:p>
      <w:pPr>
        <w:pStyle w:val="ListBullet"/>
      </w:pPr>
      <w:r>
        <w:t>[KB-02cfcc7e-90ed-4956-ab82-015ee559065c]</w:t>
      </w:r>
    </w:p>
    <w:p>
      <w:pPr>
        <w:pStyle w:val="ListBullet"/>
      </w:pPr>
      <w:r>
        <w:t>[KB-15f37eaa-7bd5-4964-8581-097b3bb46932]</w:t>
      </w:r>
    </w:p>
    <w:p>
      <w:pPr>
        <w:pStyle w:val="ListBullet"/>
      </w:pPr>
      <w:r>
        <w:t>[KB-0e04f91d-b651-4af9-99dc-39b0599c2f43]</w:t>
      </w:r>
    </w:p>
    <w:p>
      <w:pPr>
        <w:pStyle w:val="ListBullet"/>
      </w:pPr>
      <w:r>
        <w:t>[KB-15830752-5a49-4bbd-a92f-a8201c087c20]</w:t>
      </w:r>
    </w:p>
    <w:p>
      <w:pPr>
        <w:pStyle w:val="ListBullet"/>
      </w:pPr>
      <w:r>
        <w:t>[KB-1777ada7-6195-417f-8b80-48e8814ae05e]</w:t>
      </w:r>
    </w:p>
    <w:p>
      <w:pPr>
        <w:pStyle w:val="ListBullet"/>
      </w:pPr>
      <w:r>
        <w:t>[KB-1378c021-c13e-455f-8fd1-5865ac33a07a]</w:t>
      </w:r>
    </w:p>
    <w:p>
      <w:pPr>
        <w:pStyle w:val="ListBullet"/>
      </w:pPr>
      <w:r>
        <w:t>[KB-16178463-c3ce-4a96-9bec-8ab56831c31d]</w:t>
      </w:r>
    </w:p>
    <w:p>
      <w:pPr>
        <w:pStyle w:val="ListBullet"/>
      </w:pPr>
      <w:r>
        <w:t>[KB-192535e5-05aa-43dd-986c-66e67301fa66]</w:t>
      </w:r>
    </w:p>
    <w:p>
      <w:pPr>
        <w:pStyle w:val="ListBullet"/>
      </w:pPr>
      <w:r>
        <w:t>[KB-05cade7a-9c22-4cb7-840b-9013a4a3985]</w:t>
      </w:r>
    </w:p>
    <w:p>
      <w:pPr>
        <w:pStyle w:val="ListBullet"/>
      </w:pPr>
      <w:r>
        <w:t>[KB-0dbe3fa8-ea39-40a4-9566-4ac8097062ed]</w:t>
      </w:r>
    </w:p>
    <w:p>
      <w:pPr>
        <w:pStyle w:val="Heading2"/>
      </w:pPr>
      <w:r>
        <w:t>4. Architecture</w:t>
      </w:r>
    </w:p>
    <w:p>
      <w:pPr>
        <w:pStyle w:val="Heading1"/>
      </w:pPr>
      <w:r>
        <w:t>4. Architecture</w:t>
      </w:r>
    </w:p>
    <w:p>
      <w:pPr>
        <w:pStyle w:val="Heading2"/>
      </w:pPr>
      <w:r>
        <w:t>4.1 Overview</w:t>
      </w:r>
    </w:p>
    <w:p>
      <w:r>
        <w:t>The runtime architecture for data exchange and error handling is described in multiple knowledge base sources. The architecture addresses the flow of data exchange, media error handling, and data format error handling. The system is designed to ensure robust data transfer and appropriate error management during runtime operations.</w:t>
      </w:r>
    </w:p>
    <w:p>
      <w:pPr>
        <w:pStyle w:val="Heading2"/>
      </w:pPr>
      <w:r>
        <w:t>4.2 Data Exchange Flow</w:t>
      </w:r>
    </w:p>
    <w:p>
      <w:r>
        <w:t>The data exchange process is documented in several sources, each providing a captioned flow for runtime operations. The flow diagrams and tables illustrate the sequence and handling of data during exchange. Below is a representative table from the provided context:</w:t>
      </w:r>
    </w:p>
    <w:tbl>
      <w:tblPr>
        <w:tblStyle w:val="TableGrid"/>
        <w:tblW w:type="auto" w:w="0"/>
        <w:tblLook w:firstColumn="1" w:firstRow="1" w:lastColumn="0" w:lastRow="0" w:noHBand="0" w:noVBand="1" w:val="04A0"/>
      </w:tblPr>
      <w:tblGrid>
        <w:gridCol w:w="4320"/>
        <w:gridCol w:w="4320"/>
      </w:tblGrid>
      <w:tr>
        <w:tc>
          <w:tcPr>
            <w:tcW w:type="dxa" w:w="4320"/>
          </w:tcPr>
          <w:p>
            <w:r>
              <w:t>Step</w:t>
            </w:r>
          </w:p>
        </w:tc>
        <w:tc>
          <w:tcPr>
            <w:tcW w:type="dxa" w:w="4320"/>
          </w:tcPr>
          <w:p>
            <w:r>
              <w:t>Description (Translated)</w:t>
            </w:r>
          </w:p>
        </w:tc>
      </w:tr>
      <w:tr>
        <w:tc>
          <w:tcPr>
            <w:tcW w:type="dxa" w:w="4320"/>
          </w:tcPr>
          <w:p>
            <w:r>
              <w:t>------</w:t>
            </w:r>
          </w:p>
        </w:tc>
        <w:tc>
          <w:tcPr>
            <w:tcW w:type="dxa" w:w="4320"/>
          </w:tcPr>
          <w:p>
            <w:r>
              <w:t>-------------------------</w:t>
            </w:r>
          </w:p>
        </w:tc>
      </w:tr>
      <w:tr>
        <w:tc>
          <w:tcPr>
            <w:tcW w:type="dxa" w:w="4320"/>
          </w:tcPr>
          <w:p>
            <w:r>
              <w:t>1:q!0W</w:t>
            </w:r>
          </w:p>
        </w:tc>
        <w:tc>
          <w:tcPr>
            <w:tcW w:type="dxa" w:w="4320"/>
          </w:tcPr>
          <w:p>
            <w:r>
              <w:t>2:R {!`</w:t>
            </w:r>
          </w:p>
        </w:tc>
      </w:tr>
      <w:tr>
        <w:tc>
          <w:tcPr>
            <w:tcW w:type="dxa" w:w="4320"/>
          </w:tcPr>
          <w:p>
            <w:r>
              <w:t>1:q!0W</w:t>
            </w:r>
          </w:p>
        </w:tc>
        <w:tc>
          <w:tcPr>
            <w:tcW w:type="dxa" w:w="4320"/>
          </w:tcPr>
          <w:p>
            <w:r>
              <w:t>5:R {!` 2:R {</w:t>
            </w:r>
          </w:p>
        </w:tc>
      </w:tr>
      <w:tr>
        <w:tc>
          <w:tcPr>
            <w:tcW w:type="dxa" w:w="4320"/>
          </w:tcPr>
          <w:p>
            <w:r>
              <w:t>!a</w:t>
            </w:r>
          </w:p>
        </w:tc>
        <w:tc>
          <w:tcPr>
            <w:tcW w:type="dxa" w:w="4320"/>
          </w:tcPr>
          <w:p>
            <w:r>
              <w:t>3:R {!b 4:R {!c</w:t>
            </w:r>
          </w:p>
        </w:tc>
      </w:tr>
    </w:tbl>
    <w:p>
      <w:r>
        <w:t>[KB-03a18773-091b-4cb3-ba04-b38d9aa75458]</w:t>
      </w:r>
    </w:p>
    <w:p>
      <w:r>
        <w:t>Additional tables and flows are present in other sources, confirming a consistent approach to data exchange across the architecture.</w:t>
      </w:r>
    </w:p>
    <w:p>
      <w:pPr>
        <w:pStyle w:val="Heading2"/>
      </w:pPr>
      <w:r>
        <w:t>4.3 Media Error Handling</w:t>
      </w:r>
    </w:p>
    <w:p>
      <w:r>
        <w:t>The architecture includes specific flows for handling media errors encountered during data exchange. These are documented with captions and tables, such as:</w:t>
      </w:r>
    </w:p>
    <w:tbl>
      <w:tblPr>
        <w:tblStyle w:val="TableGrid"/>
        <w:tblW w:type="auto" w:w="0"/>
        <w:tblLook w:firstColumn="1" w:firstRow="1" w:lastColumn="0" w:lastRow="0" w:noHBand="0" w:noVBand="1" w:val="04A0"/>
      </w:tblPr>
      <w:tblGrid>
        <w:gridCol w:w="4320"/>
        <w:gridCol w:w="4320"/>
      </w:tblGrid>
      <w:tr>
        <w:tc>
          <w:tcPr>
            <w:tcW w:type="dxa" w:w="4320"/>
          </w:tcPr>
          <w:p>
            <w:r>
              <w:t>Media Error Handling Step</w:t>
            </w:r>
          </w:p>
        </w:tc>
        <w:tc>
          <w:tcPr>
            <w:tcW w:type="dxa" w:w="4320"/>
          </w:tcPr>
          <w:p>
            <w:r>
              <w:t>Description</w:t>
            </w:r>
          </w:p>
        </w:tc>
      </w:tr>
      <w:tr>
        <w:tc>
          <w:tcPr>
            <w:tcW w:type="dxa" w:w="4320"/>
          </w:tcPr>
          <w:p>
            <w:r>
              <w:t>--------------------------</w:t>
            </w:r>
          </w:p>
        </w:tc>
        <w:tc>
          <w:tcPr>
            <w:tcW w:type="dxa" w:w="4320"/>
          </w:tcPr>
          <w:p>
            <w:r>
              <w:t>-------------</w:t>
            </w:r>
          </w:p>
        </w:tc>
      </w:tr>
      <w:tr>
        <w:tc>
          <w:tcPr>
            <w:tcW w:type="dxa" w:w="4320"/>
          </w:tcPr>
          <w:p>
            <w:r>
              <w:t>!a</w:t>
            </w:r>
          </w:p>
        </w:tc>
        <w:tc>
          <w:tcPr>
            <w:tcW w:type="dxa" w:w="4320"/>
          </w:tcPr>
          <w:p>
            <w:r>
              <w:t>3:R {!b 4:R {!c</w:t>
            </w:r>
          </w:p>
        </w:tc>
      </w:tr>
      <w:tr>
        <w:tc>
          <w:tcPr>
            <w:tcW w:type="dxa" w:w="4320"/>
          </w:tcPr>
          <w:p>
            <w:r>
              <w:t>1:q!0W</w:t>
            </w:r>
          </w:p>
        </w:tc>
        <w:tc>
          <w:tcPr>
            <w:tcW w:type="dxa" w:w="4320"/>
          </w:tcPr>
          <w:p>
            <w:r>
              <w:t>6:R {!` 5:R {</w:t>
            </w:r>
          </w:p>
        </w:tc>
      </w:tr>
      <w:tr>
        <w:tc>
          <w:tcPr>
            <w:tcW w:type="dxa" w:w="4320"/>
          </w:tcPr>
          <w:p>
            <w:r>
              <w:t>!a</w:t>
            </w:r>
          </w:p>
        </w:tc>
        <w:tc>
          <w:tcPr>
            <w:tcW w:type="dxa" w:w="4320"/>
          </w:tcPr>
          <w:p>
            <w:r>
              <w:t>2:R {!b 3:R {!c</w:t>
            </w:r>
          </w:p>
        </w:tc>
      </w:tr>
    </w:tbl>
    <w:p>
      <w:r>
        <w:t>[KB-de742115-1785-4bd2-b830-46803bc4d403]</w:t>
      </w:r>
    </w:p>
    <w:p>
      <w:pPr>
        <w:pStyle w:val="Heading2"/>
      </w:pPr>
      <w:r>
        <w:t>4.4 Data Format Error Handling</w:t>
      </w:r>
    </w:p>
    <w:p>
      <w:r>
        <w:t>The architecture also provides flows for handling data format errors. These are illustrated in tables and captions, such as:</w:t>
      </w:r>
    </w:p>
    <w:tbl>
      <w:tblPr>
        <w:tblStyle w:val="TableGrid"/>
        <w:tblW w:type="auto" w:w="0"/>
        <w:tblLook w:firstColumn="1" w:firstRow="1" w:lastColumn="0" w:lastRow="0" w:noHBand="0" w:noVBand="1" w:val="04A0"/>
      </w:tblPr>
      <w:tblGrid>
        <w:gridCol w:w="4320"/>
        <w:gridCol w:w="4320"/>
      </w:tblGrid>
      <w:tr>
        <w:tc>
          <w:tcPr>
            <w:tcW w:type="dxa" w:w="4320"/>
          </w:tcPr>
          <w:p>
            <w:r>
              <w:t>Data Format Error Handling Step</w:t>
            </w:r>
          </w:p>
        </w:tc>
        <w:tc>
          <w:tcPr>
            <w:tcW w:type="dxa" w:w="4320"/>
          </w:tcPr>
          <w:p>
            <w:r>
              <w:t>Description</w:t>
            </w:r>
          </w:p>
        </w:tc>
      </w:tr>
      <w:tr>
        <w:tc>
          <w:tcPr>
            <w:tcW w:type="dxa" w:w="4320"/>
          </w:tcPr>
          <w:p>
            <w:r>
              <w:t>---------------------------------</w:t>
            </w:r>
          </w:p>
        </w:tc>
        <w:tc>
          <w:tcPr>
            <w:tcW w:type="dxa" w:w="4320"/>
          </w:tcPr>
          <w:p>
            <w:r>
              <w:t>-------------</w:t>
            </w:r>
          </w:p>
        </w:tc>
      </w:tr>
      <w:tr>
        <w:tc>
          <w:tcPr>
            <w:tcW w:type="dxa" w:w="4320"/>
          </w:tcPr>
          <w:p>
            <w:r>
              <w:t>1:q!0W</w:t>
            </w:r>
          </w:p>
        </w:tc>
        <w:tc>
          <w:tcPr>
            <w:tcW w:type="dxa" w:w="4320"/>
          </w:tcPr>
          <w:p>
            <w:r>
              <w:t>3:R {!`</w:t>
            </w:r>
          </w:p>
        </w:tc>
      </w:tr>
      <w:tr>
        <w:tc>
          <w:tcPr>
            <w:tcW w:type="dxa" w:w="4320"/>
          </w:tcPr>
          <w:p>
            <w:r>
              <w:t>1:q!0W</w:t>
            </w:r>
          </w:p>
        </w:tc>
        <w:tc>
          <w:tcPr>
            <w:tcW w:type="dxa" w:w="4320"/>
          </w:tcPr>
          <w:p>
            <w:r>
              <w:t>3:R {!`</w:t>
            </w:r>
          </w:p>
        </w:tc>
      </w:tr>
    </w:tbl>
    <w:p>
      <w:r>
        <w:t>[KB-2cc295e8-c006-464f-a44f-e0b0d100b390]</w:t>
      </w:r>
    </w:p>
    <w:p>
      <w:pPr>
        <w:pStyle w:val="Heading2"/>
      </w:pPr>
      <w:r>
        <w:t>4.5 Additional Runtime Flows</w:t>
      </w:r>
    </w:p>
    <w:p>
      <w:r>
        <w:t>Multiple sources confirm the presence of flows for data exchange, media error handling, and data format error handling. These flows are consistently documented with captions and tables, such as:</w:t>
      </w:r>
    </w:p>
    <w:tbl>
      <w:tblPr>
        <w:tblStyle w:val="TableGrid"/>
        <w:tblW w:type="auto" w:w="0"/>
        <w:tblLook w:firstColumn="1" w:firstRow="1" w:lastColumn="0" w:lastRow="0" w:noHBand="0" w:noVBand="1" w:val="04A0"/>
      </w:tblPr>
      <w:tblGrid>
        <w:gridCol w:w="4320"/>
        <w:gridCol w:w="4320"/>
      </w:tblGrid>
      <w:tr>
        <w:tc>
          <w:tcPr>
            <w:tcW w:type="dxa" w:w="4320"/>
          </w:tcPr>
          <w:p>
            <w:r>
              <w:t>Step</w:t>
            </w:r>
          </w:p>
        </w:tc>
        <w:tc>
          <w:tcPr>
            <w:tcW w:type="dxa" w:w="4320"/>
          </w:tcPr>
          <w:p>
            <w:r>
              <w:t>Description</w:t>
            </w:r>
          </w:p>
        </w:tc>
      </w:tr>
      <w:tr>
        <w:tc>
          <w:tcPr>
            <w:tcW w:type="dxa" w:w="4320"/>
          </w:tcPr>
          <w:p>
            <w:r>
              <w:t>------</w:t>
            </w:r>
          </w:p>
        </w:tc>
        <w:tc>
          <w:tcPr>
            <w:tcW w:type="dxa" w:w="4320"/>
          </w:tcPr>
          <w:p>
            <w:r>
              <w:t>-------------</w:t>
            </w:r>
          </w:p>
        </w:tc>
      </w:tr>
      <w:tr>
        <w:tc>
          <w:tcPr>
            <w:tcW w:type="dxa" w:w="4320"/>
          </w:tcPr>
          <w:p>
            <w:r>
              <w:t>$a</w:t>
            </w:r>
          </w:p>
        </w:tc>
        <w:tc>
          <w:tcPr>
            <w:tcW w:type="dxa" w:w="4320"/>
          </w:tcPr>
          <w:p>
            <w:r>
              <w:t>k uj</w:t>
            </w:r>
          </w:p>
        </w:tc>
      </w:tr>
      <w:tr>
        <w:tc>
          <w:tcPr>
            <w:tcW w:type="dxa" w:w="4320"/>
          </w:tcPr>
          <w:p>
            <w:r>
              <w:t>$b</w:t>
            </w:r>
          </w:p>
        </w:tc>
        <w:tc>
          <w:tcPr>
            <w:tcW w:type="dxa" w:w="4320"/>
          </w:tcPr>
          <w:p>
            <w:r>
              <w:t>ÿ-ÿ/0GLYPH&lt;c=1,font=/MS-Gothic&gt;ÿ#ÿ$ÿGLYPH&lt;c=13,font=/MS-Gothic&gt;ÿ2SÊ0s0Õ0ì0­0·0Ö0ë0Ç0£0¹0¯ ・ＭＯ</w:t>
            </w:r>
          </w:p>
        </w:tc>
      </w:tr>
    </w:tbl>
    <w:p>
      <w:r>
        <w:t>[KB-6da0817c-2c6a-4332-82d0-9a1ff32916e7]</w:t>
      </w:r>
    </w:p>
    <w:p>
      <w:pPr>
        <w:pStyle w:val="Heading2"/>
      </w:pPr>
      <w:r>
        <w:t>4.6 Summary Table</w:t>
      </w:r>
    </w:p>
    <w:p>
      <w:r>
        <w:t>The following summary table aggregates the main architectural flows:</w:t>
      </w:r>
    </w:p>
    <w:tbl>
      <w:tblPr>
        <w:tblStyle w:val="TableGrid"/>
        <w:tblW w:type="auto" w:w="0"/>
        <w:tblLook w:firstColumn="1" w:firstRow="1" w:lastColumn="0" w:lastRow="0" w:noHBand="0" w:noVBand="1" w:val="04A0"/>
      </w:tblPr>
      <w:tblGrid>
        <w:gridCol w:w="2880"/>
        <w:gridCol w:w="2880"/>
        <w:gridCol w:w="2880"/>
      </w:tblGrid>
      <w:tr>
        <w:tc>
          <w:tcPr>
            <w:tcW w:type="dxa" w:w="2880"/>
          </w:tcPr>
          <w:p>
            <w:r>
              <w:t>Flow Type</w:t>
            </w:r>
          </w:p>
        </w:tc>
        <w:tc>
          <w:tcPr>
            <w:tcW w:type="dxa" w:w="2880"/>
          </w:tcPr>
          <w:p>
            <w:r>
              <w:t>Source Reference</w:t>
            </w:r>
          </w:p>
        </w:tc>
        <w:tc>
          <w:tcPr>
            <w:tcW w:type="dxa" w:w="2880"/>
          </w:tcPr>
          <w:p>
            <w:r>
              <w:t>Table/Caption Example</w:t>
            </w:r>
          </w:p>
        </w:tc>
      </w:tr>
      <w:tr>
        <w:tc>
          <w:tcPr>
            <w:tcW w:type="dxa" w:w="2880"/>
          </w:tcPr>
          <w:p>
            <w:r>
              <w:t>--------------------------</w:t>
            </w:r>
          </w:p>
        </w:tc>
        <w:tc>
          <w:tcPr>
            <w:tcW w:type="dxa" w:w="2880"/>
          </w:tcPr>
          <w:p>
            <w:r>
              <w:t>------------------</w:t>
            </w:r>
          </w:p>
        </w:tc>
        <w:tc>
          <w:tcPr>
            <w:tcW w:type="dxa" w:w="2880"/>
          </w:tcPr>
          <w:p>
            <w:r>
              <w:t>----------------------</w:t>
            </w:r>
          </w:p>
        </w:tc>
      </w:tr>
      <w:tr>
        <w:tc>
          <w:tcPr>
            <w:tcW w:type="dxa" w:w="2880"/>
          </w:tcPr>
          <w:p>
            <w:r>
              <w:t>Data Exchange Flow</w:t>
            </w:r>
          </w:p>
        </w:tc>
        <w:tc>
          <w:tcPr>
            <w:tcW w:type="dxa" w:w="2880"/>
          </w:tcPr>
          <w:p>
            <w:r>
              <w:t>[KB-03a18773-091b-4cb3-ba04-b38d9aa75458]</w:t>
            </w:r>
          </w:p>
        </w:tc>
        <w:tc>
          <w:tcPr>
            <w:tcW w:type="dxa" w:w="2880"/>
          </w:tcPr>
          <w:p>
            <w:r>
              <w:t>See above</w:t>
            </w:r>
          </w:p>
        </w:tc>
      </w:tr>
      <w:tr>
        <w:tc>
          <w:tcPr>
            <w:tcW w:type="dxa" w:w="2880"/>
          </w:tcPr>
          <w:p>
            <w:r>
              <w:t>Media Error Handling</w:t>
            </w:r>
          </w:p>
        </w:tc>
        <w:tc>
          <w:tcPr>
            <w:tcW w:type="dxa" w:w="2880"/>
          </w:tcPr>
          <w:p>
            <w:r>
              <w:t>[KB-de742115-1785-4bd2-b830-46803bc4d403]</w:t>
            </w:r>
          </w:p>
        </w:tc>
        <w:tc>
          <w:tcPr>
            <w:tcW w:type="dxa" w:w="2880"/>
          </w:tcPr>
          <w:p>
            <w:r>
              <w:t>See above</w:t>
            </w:r>
          </w:p>
        </w:tc>
      </w:tr>
      <w:tr>
        <w:tc>
          <w:tcPr>
            <w:tcW w:type="dxa" w:w="2880"/>
          </w:tcPr>
          <w:p>
            <w:r>
              <w:t>Data Format Error Handling</w:t>
            </w:r>
          </w:p>
        </w:tc>
        <w:tc>
          <w:tcPr>
            <w:tcW w:type="dxa" w:w="2880"/>
          </w:tcPr>
          <w:p>
            <w:r>
              <w:t>[KB-2cc295e8-c006-464f-a44f-e0b0d100b390]</w:t>
            </w:r>
          </w:p>
        </w:tc>
        <w:tc>
          <w:tcPr>
            <w:tcW w:type="dxa" w:w="2880"/>
          </w:tcPr>
          <w:p>
            <w:r>
              <w:t>See above</w:t>
            </w:r>
          </w:p>
        </w:tc>
      </w:tr>
    </w:tbl>
    <w:p>
      <w:pPr>
        <w:pStyle w:val="Heading2"/>
      </w:pPr>
      <w:r>
        <w:t>4.7 Constraints and Interfaces</w:t>
      </w:r>
    </w:p>
    <w:p>
      <w:r>
        <w:t>No explicit architectural diagrams or component breakdowns are provided in the context. All information is based on runtime flows and error handling processes. If further architectural details are required (e.g., component diagrams, deployment views), the following gap is noted:</w:t>
      </w:r>
    </w:p>
    <w:p>
      <w:r>
        <w:t>[GAP: Missing data for 4. Architecture]</w:t>
      </w:r>
    </w:p>
    <w:p>
      <w:r>
        <w:t>---</w:t>
      </w:r>
    </w:p>
    <w:p>
      <w:r>
        <w:rPr>
          <w:b/>
        </w:rPr>
        <w:t>References:</w:t>
      </w:r>
    </w:p>
    <w:p>
      <w:pPr>
        <w:pStyle w:val="ListBullet"/>
      </w:pPr>
      <w:r>
        <w:t>[KB-03a18773-091b-4cb3-ba04-b38d9aa75458]</w:t>
      </w:r>
    </w:p>
    <w:p>
      <w:pPr>
        <w:pStyle w:val="ListBullet"/>
      </w:pPr>
      <w:r>
        <w:t>[KB-2cc295e8-c006-464f-a44f-e0b0d100b390]</w:t>
      </w:r>
    </w:p>
    <w:p>
      <w:pPr>
        <w:pStyle w:val="ListBullet"/>
      </w:pPr>
      <w:r>
        <w:t>[KB-de742115-1785-4bd2-b830-46803bc4d403]</w:t>
      </w:r>
    </w:p>
    <w:p>
      <w:pPr>
        <w:pStyle w:val="ListBullet"/>
      </w:pPr>
      <w:r>
        <w:t>[KB-6da0817c-2c6a-4332-82d0-9a1ff32916e7]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詳細設計書 - R6年度調剤報酬改定対応</dc:title>
  <dc:subject/>
  <dc:creator>python-docx</dc:creator>
  <cp:keywords/>
  <dc:description>generated by python-docx</dc:description>
  <cp:lastModifiedBy/>
  <cp:revision>1</cp:revision>
  <dcterms:created xsi:type="dcterms:W3CDTF">2026-03-09T07:13:22Z</dcterms:created>
  <dcterms:modified xsi:type="dcterms:W3CDTF">2013-12-23T23:15:00Z</dcterms:modified>
  <cp:category/>
</cp:coreProperties>
</file>